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12B" w:rsidRPr="00CE612B" w:rsidRDefault="00CE612B" w:rsidP="00CE612B">
      <w:pPr>
        <w:spacing w:before="100" w:beforeAutospacing="1" w:after="100" w:afterAutospacing="1"/>
        <w:outlineLvl w:val="0"/>
        <w:rPr>
          <w:rFonts w:ascii="Times New Roman" w:eastAsia="Times New Roman" w:hAnsi="Times New Roman" w:cs="Times New Roman"/>
          <w:b/>
          <w:bCs/>
          <w:kern w:val="36"/>
          <w:sz w:val="48"/>
          <w:szCs w:val="48"/>
          <w:lang w:val="en-ZA" w:eastAsia="en-ZA"/>
        </w:rPr>
      </w:pPr>
      <w:r w:rsidRPr="00CE612B">
        <w:rPr>
          <w:rFonts w:ascii="Times New Roman" w:eastAsia="Times New Roman" w:hAnsi="Times New Roman" w:cs="Times New Roman"/>
          <w:b/>
          <w:bCs/>
          <w:kern w:val="36"/>
          <w:sz w:val="48"/>
          <w:szCs w:val="48"/>
          <w:lang w:val="en-ZA" w:eastAsia="en-ZA"/>
        </w:rPr>
        <w:t>Learning Brief: Informal Settlement Upgrading and Sustainable Livelihood Development in South Africa</w:t>
      </w:r>
    </w:p>
    <w:p w:rsidR="00CE612B" w:rsidRPr="00CE612B" w:rsidRDefault="00CE612B" w:rsidP="00CE612B">
      <w:pPr>
        <w:spacing w:before="100" w:beforeAutospacing="1" w:after="100" w:afterAutospacing="1"/>
        <w:outlineLvl w:val="1"/>
        <w:rPr>
          <w:rFonts w:ascii="Times New Roman" w:eastAsia="Times New Roman" w:hAnsi="Times New Roman" w:cs="Times New Roman"/>
          <w:b/>
          <w:bCs/>
          <w:sz w:val="36"/>
          <w:szCs w:val="36"/>
          <w:lang w:val="en-ZA" w:eastAsia="en-ZA"/>
        </w:rPr>
      </w:pPr>
      <w:r w:rsidRPr="00CE612B">
        <w:rPr>
          <w:rFonts w:ascii="Times New Roman" w:eastAsia="Times New Roman" w:hAnsi="Times New Roman" w:cs="Times New Roman"/>
          <w:b/>
          <w:bCs/>
          <w:sz w:val="36"/>
          <w:szCs w:val="36"/>
          <w:lang w:val="en-ZA" w:eastAsia="en-ZA"/>
        </w:rPr>
        <w:t>1. Introduction</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 xml:space="preserve">Informal settlements are a stark manifestation of poverty, inequality, and rapid urbanisation in South Africa. Residents, who are highly susceptible to sudden unemployment and lack labour rights, often face precarious working conditions and external shocks. While government interventions have historically focused on </w:t>
      </w:r>
      <w:r w:rsidRPr="00CE612B">
        <w:rPr>
          <w:rFonts w:ascii="Times New Roman" w:eastAsia="Times New Roman" w:hAnsi="Times New Roman" w:cs="Times New Roman"/>
          <w:i/>
          <w:iCs/>
          <w:sz w:val="24"/>
          <w:szCs w:val="24"/>
          <w:lang w:val="en-ZA" w:eastAsia="en-ZA"/>
        </w:rPr>
        <w:t>in-situ</w:t>
      </w:r>
      <w:r w:rsidR="00DD31AB">
        <w:rPr>
          <w:rFonts w:ascii="Times New Roman" w:eastAsia="Times New Roman" w:hAnsi="Times New Roman" w:cs="Times New Roman"/>
          <w:sz w:val="24"/>
          <w:szCs w:val="24"/>
          <w:lang w:val="en-ZA" w:eastAsia="en-ZA"/>
        </w:rPr>
        <w:t xml:space="preserve"> upgrading that involves </w:t>
      </w:r>
      <w:r w:rsidRPr="00CE612B">
        <w:rPr>
          <w:rFonts w:ascii="Times New Roman" w:eastAsia="Times New Roman" w:hAnsi="Times New Roman" w:cs="Times New Roman"/>
          <w:sz w:val="24"/>
          <w:szCs w:val="24"/>
          <w:lang w:val="en-ZA" w:eastAsia="en-ZA"/>
        </w:rPr>
        <w:t>improving the physical environment by providing services and hous</w:t>
      </w:r>
      <w:r w:rsidR="00DD31AB">
        <w:rPr>
          <w:rFonts w:ascii="Times New Roman" w:eastAsia="Times New Roman" w:hAnsi="Times New Roman" w:cs="Times New Roman"/>
          <w:sz w:val="24"/>
          <w:szCs w:val="24"/>
          <w:lang w:val="en-ZA" w:eastAsia="en-ZA"/>
        </w:rPr>
        <w:t xml:space="preserve">ing where people currently live, </w:t>
      </w:r>
      <w:r w:rsidRPr="00CE612B">
        <w:rPr>
          <w:rFonts w:ascii="Times New Roman" w:eastAsia="Times New Roman" w:hAnsi="Times New Roman" w:cs="Times New Roman"/>
          <w:sz w:val="24"/>
          <w:szCs w:val="24"/>
          <w:lang w:val="en-ZA" w:eastAsia="en-ZA"/>
        </w:rPr>
        <w:t>there is now a clear recognition that improving livelihoods is just as fundamental for achieving sustainable development.</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 xml:space="preserve">Livelihood development is not merely about providing jobs; it is a holistic approach focused on improving how individuals and communities survive, earn a living, and thrive. A livelihood is defined as a means of making a living, which is directly and indirectly influenced by a wide range of factors, including security, access to basic services, education, and </w:t>
      </w:r>
      <w:proofErr w:type="spellStart"/>
      <w:r w:rsidRPr="00CE612B">
        <w:rPr>
          <w:rFonts w:ascii="Times New Roman" w:eastAsia="Times New Roman" w:hAnsi="Times New Roman" w:cs="Times New Roman"/>
          <w:sz w:val="24"/>
          <w:szCs w:val="24"/>
          <w:lang w:val="en-ZA" w:eastAsia="en-ZA"/>
        </w:rPr>
        <w:t>locational</w:t>
      </w:r>
      <w:proofErr w:type="spellEnd"/>
      <w:r w:rsidRPr="00CE612B">
        <w:rPr>
          <w:rFonts w:ascii="Times New Roman" w:eastAsia="Times New Roman" w:hAnsi="Times New Roman" w:cs="Times New Roman"/>
          <w:sz w:val="24"/>
          <w:szCs w:val="24"/>
          <w:lang w:val="en-ZA" w:eastAsia="en-ZA"/>
        </w:rPr>
        <w:t xml:space="preserve"> opportunity. This integrated approach is guided by principles such as being people-centred, holistic, dynamic, and focused on sustainability.</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The framework presented here is structured around the five key capital assets of the Sustainable Livelihoods Framework (SLF), which originated with the United Kingdom’s Department for International Development (DFID) in the 1990s</w:t>
      </w:r>
      <w:r>
        <w:rPr>
          <w:rStyle w:val="FootnoteReference"/>
          <w:rFonts w:ascii="Times New Roman" w:eastAsia="Times New Roman" w:hAnsi="Times New Roman" w:cs="Times New Roman"/>
          <w:sz w:val="24"/>
          <w:szCs w:val="24"/>
          <w:lang w:val="en-ZA" w:eastAsia="en-ZA"/>
        </w:rPr>
        <w:footnoteReference w:id="1"/>
      </w:r>
      <w:r w:rsidRPr="00CE612B">
        <w:rPr>
          <w:rFonts w:ascii="Times New Roman" w:eastAsia="Times New Roman" w:hAnsi="Times New Roman" w:cs="Times New Roman"/>
          <w:sz w:val="24"/>
          <w:szCs w:val="24"/>
          <w:lang w:val="en-ZA" w:eastAsia="en-ZA"/>
        </w:rPr>
        <w:t xml:space="preserve"> as a tool for understanding and addressing poverty. The SLF helps identify the diverse assets (Human, Social, Financial, Physical, and Natural Capital) that poor people rely on and the factors that influence their ability to use them, demonstrating how the Upgrading of Informal Settlements Programme (UISP) objectives are achieved through deliberate, concurrent asset accumulation across all facets of community life.</w:t>
      </w:r>
    </w:p>
    <w:p w:rsidR="00CE612B" w:rsidRPr="00CE612B" w:rsidRDefault="00CE612B" w:rsidP="00CE612B">
      <w:pPr>
        <w:spacing w:before="100" w:beforeAutospacing="1" w:after="100" w:afterAutospacing="1"/>
        <w:outlineLvl w:val="1"/>
        <w:rPr>
          <w:rFonts w:ascii="Times New Roman" w:eastAsia="Times New Roman" w:hAnsi="Times New Roman" w:cs="Times New Roman"/>
          <w:b/>
          <w:bCs/>
          <w:sz w:val="36"/>
          <w:szCs w:val="36"/>
          <w:lang w:val="en-ZA" w:eastAsia="en-ZA"/>
        </w:rPr>
      </w:pPr>
      <w:r w:rsidRPr="00CE612B">
        <w:rPr>
          <w:rFonts w:ascii="Times New Roman" w:eastAsia="Times New Roman" w:hAnsi="Times New Roman" w:cs="Times New Roman"/>
          <w:b/>
          <w:bCs/>
          <w:sz w:val="36"/>
          <w:szCs w:val="36"/>
          <w:lang w:val="en-ZA" w:eastAsia="en-ZA"/>
        </w:rPr>
        <w:t>2. The Livelihood Imperative and the UISP Objectives</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The South African government’s approach, formalised through the Breaking New Ground (BNG) Policy and the UISP, reflects this shift. Upgrading is now viewed as an opportunity to drive economic inclusion, strengthen community networks, and empower residents. The UISP is founded on three primary objectives, all of which are directly supported and achieved through the integrated livelihood development approach:</w:t>
      </w:r>
    </w:p>
    <w:p w:rsidR="00CE612B" w:rsidRPr="00CE612B" w:rsidRDefault="00CE612B" w:rsidP="00CE612B">
      <w:pPr>
        <w:numPr>
          <w:ilvl w:val="0"/>
          <w:numId w:val="44"/>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Granting Security of Tenure:</w:t>
      </w:r>
      <w:r w:rsidRPr="00CE612B">
        <w:rPr>
          <w:rFonts w:ascii="Times New Roman" w:eastAsia="Times New Roman" w:hAnsi="Times New Roman" w:cs="Times New Roman"/>
          <w:sz w:val="24"/>
          <w:szCs w:val="24"/>
          <w:lang w:val="en-ZA" w:eastAsia="en-ZA"/>
        </w:rPr>
        <w:t xml:space="preserve"> Converting precarious occupation into a secure asset, which encourages investment and economic activity.</w:t>
      </w:r>
    </w:p>
    <w:p w:rsidR="00CE612B" w:rsidRPr="00CE612B" w:rsidRDefault="00CE612B" w:rsidP="00CE612B">
      <w:pPr>
        <w:numPr>
          <w:ilvl w:val="0"/>
          <w:numId w:val="44"/>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lastRenderedPageBreak/>
        <w:t>Improving Physical and Environmental Conditions:</w:t>
      </w:r>
      <w:r w:rsidRPr="00CE612B">
        <w:rPr>
          <w:rFonts w:ascii="Times New Roman" w:eastAsia="Times New Roman" w:hAnsi="Times New Roman" w:cs="Times New Roman"/>
          <w:sz w:val="24"/>
          <w:szCs w:val="24"/>
          <w:lang w:val="en-ZA" w:eastAsia="en-ZA"/>
        </w:rPr>
        <w:t xml:space="preserve"> Providing essential services and infrastructure (e.g. electrification, roads), which are crucial for public health and economic operations.</w:t>
      </w:r>
    </w:p>
    <w:p w:rsidR="00CE612B" w:rsidRPr="00CE612B" w:rsidRDefault="00CE612B" w:rsidP="00CE612B">
      <w:pPr>
        <w:numPr>
          <w:ilvl w:val="0"/>
          <w:numId w:val="44"/>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Socio-economic Empowerment:</w:t>
      </w:r>
      <w:r w:rsidRPr="00CE612B">
        <w:rPr>
          <w:rFonts w:ascii="Times New Roman" w:eastAsia="Times New Roman" w:hAnsi="Times New Roman" w:cs="Times New Roman"/>
          <w:sz w:val="24"/>
          <w:szCs w:val="24"/>
          <w:lang w:val="en-ZA" w:eastAsia="en-ZA"/>
        </w:rPr>
        <w:t xml:space="preserve"> Building the human, social, and financial capital of residents to increase their capability (the ability to make choices and act on them, for example, choosing to start a business rather than seek casual labour) and influence over the processes that affect their lives.</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This framework ensures that infrastructure development is not an end in itself, but a catalyst for sustained human development.</w:t>
      </w:r>
    </w:p>
    <w:p w:rsidR="00CE612B" w:rsidRPr="00CE612B" w:rsidRDefault="00CE612B" w:rsidP="00CE612B">
      <w:pPr>
        <w:spacing w:before="100" w:beforeAutospacing="1" w:after="100" w:afterAutospacing="1"/>
        <w:outlineLvl w:val="1"/>
        <w:rPr>
          <w:rFonts w:ascii="Times New Roman" w:eastAsia="Times New Roman" w:hAnsi="Times New Roman" w:cs="Times New Roman"/>
          <w:b/>
          <w:bCs/>
          <w:sz w:val="36"/>
          <w:szCs w:val="36"/>
          <w:lang w:val="en-ZA" w:eastAsia="en-ZA"/>
        </w:rPr>
      </w:pPr>
      <w:r w:rsidRPr="00CE612B">
        <w:rPr>
          <w:rFonts w:ascii="Times New Roman" w:eastAsia="Times New Roman" w:hAnsi="Times New Roman" w:cs="Times New Roman"/>
          <w:b/>
          <w:bCs/>
          <w:sz w:val="36"/>
          <w:szCs w:val="36"/>
          <w:lang w:val="en-ZA" w:eastAsia="en-ZA"/>
        </w:rPr>
        <w:t>3. Strategies Categorised by Livelihood Asset Portfolios: A Framework for Asset Accumulation</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 xml:space="preserve">A </w:t>
      </w:r>
      <w:r w:rsidRPr="00A047C9">
        <w:rPr>
          <w:rFonts w:ascii="Times New Roman" w:eastAsia="Times New Roman" w:hAnsi="Times New Roman" w:cs="Times New Roman"/>
          <w:bCs/>
          <w:sz w:val="24"/>
          <w:szCs w:val="24"/>
          <w:lang w:val="en-ZA" w:eastAsia="en-ZA"/>
        </w:rPr>
        <w:t>Livelihood Asset Portfolio</w:t>
      </w:r>
      <w:r w:rsidRPr="00CE612B">
        <w:rPr>
          <w:rFonts w:ascii="Times New Roman" w:eastAsia="Times New Roman" w:hAnsi="Times New Roman" w:cs="Times New Roman"/>
          <w:sz w:val="24"/>
          <w:szCs w:val="24"/>
          <w:lang w:val="en-ZA" w:eastAsia="en-ZA"/>
        </w:rPr>
        <w:t xml:space="preserve"> is a classification system that </w:t>
      </w:r>
      <w:proofErr w:type="gramStart"/>
      <w:r w:rsidRPr="00CE612B">
        <w:rPr>
          <w:rFonts w:ascii="Times New Roman" w:eastAsia="Times New Roman" w:hAnsi="Times New Roman" w:cs="Times New Roman"/>
          <w:sz w:val="24"/>
          <w:szCs w:val="24"/>
          <w:lang w:val="en-ZA" w:eastAsia="en-ZA"/>
        </w:rPr>
        <w:t>groups</w:t>
      </w:r>
      <w:proofErr w:type="gramEnd"/>
      <w:r w:rsidRPr="00CE612B">
        <w:rPr>
          <w:rFonts w:ascii="Times New Roman" w:eastAsia="Times New Roman" w:hAnsi="Times New Roman" w:cs="Times New Roman"/>
          <w:sz w:val="24"/>
          <w:szCs w:val="24"/>
          <w:lang w:val="en-ZA" w:eastAsia="en-ZA"/>
        </w:rPr>
        <w:t xml:space="preserve"> strategies based on the specific capital assets they aim to build or protect to solve community challenges. Each portfolio represents a broad area of intervention (such as social protection or economic activity) designed to achieve a specific outcome, such as increased income or reduced vulnerability.</w:t>
      </w:r>
    </w:p>
    <w:p w:rsidR="00CE612B" w:rsidRPr="00CE612B" w:rsidRDefault="00CE612B" w:rsidP="00CE612B">
      <w:pPr>
        <w:spacing w:before="100" w:beforeAutospacing="1" w:after="100" w:afterAutospacing="1"/>
        <w:outlineLvl w:val="2"/>
        <w:rPr>
          <w:rFonts w:ascii="Times New Roman" w:eastAsia="Times New Roman" w:hAnsi="Times New Roman" w:cs="Times New Roman"/>
          <w:b/>
          <w:bCs/>
          <w:sz w:val="27"/>
          <w:szCs w:val="27"/>
          <w:lang w:val="en-ZA" w:eastAsia="en-ZA"/>
        </w:rPr>
      </w:pPr>
      <w:r w:rsidRPr="00CE612B">
        <w:rPr>
          <w:rFonts w:ascii="Times New Roman" w:eastAsia="Times New Roman" w:hAnsi="Times New Roman" w:cs="Times New Roman"/>
          <w:b/>
          <w:bCs/>
          <w:sz w:val="27"/>
          <w:szCs w:val="27"/>
          <w:lang w:val="en-ZA" w:eastAsia="en-ZA"/>
        </w:rPr>
        <w:t>3.1. Poverty Reduction and Protection (Building Human and Financial Capital)</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These strategies address the vulnerability context (the critical trends and shocks) by creating a buffer against crises and addressing health barriers, thereby protecting and enhancing Human and Financial Capital.</w:t>
      </w:r>
    </w:p>
    <w:p w:rsidR="00CE612B" w:rsidRPr="00CE612B" w:rsidRDefault="00CE612B" w:rsidP="00CE612B">
      <w:pPr>
        <w:numPr>
          <w:ilvl w:val="0"/>
          <w:numId w:val="45"/>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Welfare and Grant Access:</w:t>
      </w:r>
      <w:r w:rsidRPr="00CE612B">
        <w:rPr>
          <w:rFonts w:ascii="Times New Roman" w:eastAsia="Times New Roman" w:hAnsi="Times New Roman" w:cs="Times New Roman"/>
          <w:sz w:val="24"/>
          <w:szCs w:val="24"/>
          <w:lang w:val="en-ZA" w:eastAsia="en-ZA"/>
        </w:rPr>
        <w:t xml:space="preserve"> Government officials must assist all members of the informal settlement who qualify to access social grants. This includes assisting in obtaining necessary documentation and providing specific support for those with special care needs. (Financial Capital protection)</w:t>
      </w:r>
    </w:p>
    <w:p w:rsidR="00CE612B" w:rsidRPr="00CE612B" w:rsidRDefault="00CE612B" w:rsidP="00CE612B">
      <w:pPr>
        <w:numPr>
          <w:ilvl w:val="0"/>
          <w:numId w:val="45"/>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Indigent Registration Drives:</w:t>
      </w:r>
      <w:r w:rsidRPr="00CE612B">
        <w:rPr>
          <w:rFonts w:ascii="Times New Roman" w:eastAsia="Times New Roman" w:hAnsi="Times New Roman" w:cs="Times New Roman"/>
          <w:sz w:val="24"/>
          <w:szCs w:val="24"/>
          <w:lang w:val="en-ZA" w:eastAsia="en-ZA"/>
        </w:rPr>
        <w:t xml:space="preserve"> Support local efforts to raise awareness and complete indigent registration drives so that eligible households are officially enrolled and able to receive Free Basic Services (FBS), thus protecting household finances. (Financial Capital protection)</w:t>
      </w:r>
    </w:p>
    <w:p w:rsidR="00CE612B" w:rsidRPr="00CE612B" w:rsidRDefault="00CE612B" w:rsidP="00CE612B">
      <w:pPr>
        <w:numPr>
          <w:ilvl w:val="0"/>
          <w:numId w:val="45"/>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Mental Health and Psycho-social Support:</w:t>
      </w:r>
      <w:r w:rsidRPr="00CE612B">
        <w:rPr>
          <w:rFonts w:ascii="Times New Roman" w:eastAsia="Times New Roman" w:hAnsi="Times New Roman" w:cs="Times New Roman"/>
          <w:sz w:val="24"/>
          <w:szCs w:val="24"/>
          <w:lang w:val="en-ZA" w:eastAsia="en-ZA"/>
        </w:rPr>
        <w:t xml:space="preserve"> Providing access to counselling services that can deal with trauma, as well as primary health care programmes. Addressing poor health is critical, as it is a major barrier to sustained livelihood activity. (Human Capital maintenance)</w:t>
      </w:r>
    </w:p>
    <w:p w:rsidR="00CE612B" w:rsidRPr="00CE612B" w:rsidRDefault="00CE612B" w:rsidP="00CE612B">
      <w:pPr>
        <w:numPr>
          <w:ilvl w:val="0"/>
          <w:numId w:val="45"/>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Disaster Management and Climate Resilience:</w:t>
      </w:r>
      <w:r w:rsidRPr="00CE612B">
        <w:rPr>
          <w:rFonts w:ascii="Times New Roman" w:eastAsia="Times New Roman" w:hAnsi="Times New Roman" w:cs="Times New Roman"/>
          <w:sz w:val="24"/>
          <w:szCs w:val="24"/>
          <w:lang w:val="en-ZA" w:eastAsia="en-ZA"/>
        </w:rPr>
        <w:t xml:space="preserve"> Establishing early warning systems and community disaster management committees to cope with stresses and recover from shocks like floods or fires. This builds resilience (the ability to bounce back and recover from shocks and stresses without permanent damage to assets) and reduces the risk of asset loss. (Financial and Physical Capital protection)</w:t>
      </w:r>
    </w:p>
    <w:p w:rsidR="00CE612B" w:rsidRPr="00CE612B" w:rsidRDefault="00CE612B" w:rsidP="00CE612B">
      <w:pPr>
        <w:spacing w:before="100" w:beforeAutospacing="1" w:after="100" w:afterAutospacing="1"/>
        <w:outlineLvl w:val="2"/>
        <w:rPr>
          <w:rFonts w:ascii="Times New Roman" w:eastAsia="Times New Roman" w:hAnsi="Times New Roman" w:cs="Times New Roman"/>
          <w:b/>
          <w:bCs/>
          <w:sz w:val="27"/>
          <w:szCs w:val="27"/>
          <w:lang w:val="en-ZA" w:eastAsia="en-ZA"/>
        </w:rPr>
      </w:pPr>
      <w:r w:rsidRPr="00CE612B">
        <w:rPr>
          <w:rFonts w:ascii="Times New Roman" w:eastAsia="Times New Roman" w:hAnsi="Times New Roman" w:cs="Times New Roman"/>
          <w:b/>
          <w:bCs/>
          <w:sz w:val="27"/>
          <w:szCs w:val="27"/>
          <w:lang w:val="en-ZA" w:eastAsia="en-ZA"/>
        </w:rPr>
        <w:t>3.2. Economic Inclusion and Income Generation (Building Financial and Human Capital)</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lastRenderedPageBreak/>
        <w:t xml:space="preserve">These strategies directly build Financial and Human Capital by addressing the lack of stable income opportunities and transforming micro-enterprises, including home-based businesses, into more viable, </w:t>
      </w:r>
      <w:proofErr w:type="spellStart"/>
      <w:r w:rsidRPr="00CE612B">
        <w:rPr>
          <w:rFonts w:ascii="Times New Roman" w:eastAsia="Times New Roman" w:hAnsi="Times New Roman" w:cs="Times New Roman"/>
          <w:sz w:val="24"/>
          <w:szCs w:val="24"/>
          <w:lang w:val="en-ZA" w:eastAsia="en-ZA"/>
        </w:rPr>
        <w:t>formalisable</w:t>
      </w:r>
      <w:proofErr w:type="spellEnd"/>
      <w:r w:rsidRPr="00CE612B">
        <w:rPr>
          <w:rFonts w:ascii="Times New Roman" w:eastAsia="Times New Roman" w:hAnsi="Times New Roman" w:cs="Times New Roman"/>
          <w:sz w:val="24"/>
          <w:szCs w:val="24"/>
          <w:lang w:val="en-ZA" w:eastAsia="en-ZA"/>
        </w:rPr>
        <w:t xml:space="preserve"> operations.</w:t>
      </w:r>
    </w:p>
    <w:p w:rsidR="00CE612B" w:rsidRPr="00CE612B" w:rsidRDefault="00CE612B" w:rsidP="00CE612B">
      <w:pPr>
        <w:numPr>
          <w:ilvl w:val="0"/>
          <w:numId w:val="46"/>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Enterprise Support and Development:</w:t>
      </w:r>
      <w:r w:rsidRPr="00CE612B">
        <w:rPr>
          <w:rFonts w:ascii="Times New Roman" w:eastAsia="Times New Roman" w:hAnsi="Times New Roman" w:cs="Times New Roman"/>
          <w:sz w:val="24"/>
          <w:szCs w:val="24"/>
          <w:lang w:val="en-ZA" w:eastAsia="en-ZA"/>
        </w:rPr>
        <w:t xml:space="preserve"> Providing microfinance and intensive business development support to help small, informal businesses grow. This involves training in core business skills and sector-specific skills. (Financial and Human Capital)</w:t>
      </w:r>
    </w:p>
    <w:p w:rsidR="00CE612B" w:rsidRPr="00CE612B" w:rsidRDefault="00CE612B" w:rsidP="00CE612B">
      <w:pPr>
        <w:numPr>
          <w:ilvl w:val="0"/>
          <w:numId w:val="46"/>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Digital Livelihoods Strategy:</w:t>
      </w:r>
      <w:r w:rsidRPr="00CE612B">
        <w:rPr>
          <w:rFonts w:ascii="Times New Roman" w:eastAsia="Times New Roman" w:hAnsi="Times New Roman" w:cs="Times New Roman"/>
          <w:sz w:val="24"/>
          <w:szCs w:val="24"/>
          <w:lang w:val="en-ZA" w:eastAsia="en-ZA"/>
        </w:rPr>
        <w:t xml:space="preserve"> Providing targeted training in online work platforms and digital marketing skills for local businesses. This leverages digital connectivity to link residents, particularly the youth, to broader economic opportunities. (Human Capital)</w:t>
      </w:r>
    </w:p>
    <w:p w:rsidR="00CE612B" w:rsidRPr="00CE612B" w:rsidRDefault="00CE612B" w:rsidP="00CE612B">
      <w:pPr>
        <w:numPr>
          <w:ilvl w:val="0"/>
          <w:numId w:val="46"/>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Agro-Economic Livelihoods:</w:t>
      </w:r>
      <w:r w:rsidRPr="00CE612B">
        <w:rPr>
          <w:rFonts w:ascii="Times New Roman" w:eastAsia="Times New Roman" w:hAnsi="Times New Roman" w:cs="Times New Roman"/>
          <w:sz w:val="24"/>
          <w:szCs w:val="24"/>
          <w:lang w:val="en-ZA" w:eastAsia="en-ZA"/>
        </w:rPr>
        <w:t xml:space="preserve"> Supporting home and community/allotment gardening for subsistence and surplus income. This is coupled with promoting appropriate small stock farming (e.g. chickens, goats) and, in more </w:t>
      </w:r>
      <w:proofErr w:type="spellStart"/>
      <w:r w:rsidRPr="00CE612B">
        <w:rPr>
          <w:rFonts w:ascii="Times New Roman" w:eastAsia="Times New Roman" w:hAnsi="Times New Roman" w:cs="Times New Roman"/>
          <w:sz w:val="24"/>
          <w:szCs w:val="24"/>
          <w:lang w:val="en-ZA" w:eastAsia="en-ZA"/>
        </w:rPr>
        <w:t>peri</w:t>
      </w:r>
      <w:proofErr w:type="spellEnd"/>
      <w:r w:rsidRPr="00CE612B">
        <w:rPr>
          <w:rFonts w:ascii="Times New Roman" w:eastAsia="Times New Roman" w:hAnsi="Times New Roman" w:cs="Times New Roman"/>
          <w:sz w:val="24"/>
          <w:szCs w:val="24"/>
          <w:lang w:val="en-ZA" w:eastAsia="en-ZA"/>
        </w:rPr>
        <w:t>-urban contexts, even larger stock farming. (Financial and Natural Capital)</w:t>
      </w:r>
    </w:p>
    <w:p w:rsidR="00CE612B" w:rsidRPr="00CE612B" w:rsidRDefault="00CE612B" w:rsidP="00CE612B">
      <w:pPr>
        <w:numPr>
          <w:ilvl w:val="0"/>
          <w:numId w:val="46"/>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Public Employment Schemes and Maintenance:</w:t>
      </w:r>
      <w:r w:rsidRPr="00CE612B">
        <w:rPr>
          <w:rFonts w:ascii="Times New Roman" w:eastAsia="Times New Roman" w:hAnsi="Times New Roman" w:cs="Times New Roman"/>
          <w:sz w:val="24"/>
          <w:szCs w:val="24"/>
          <w:lang w:val="en-ZA" w:eastAsia="en-ZA"/>
        </w:rPr>
        <w:t xml:space="preserve"> Organising and managing public employment programmes like Expanded Public Work Programmes (EPWP) and Community Work Programmes (CWP) to offer temporary income and work experience. This includes leveraging these programmes to ensure the ongoing maintenance of new spatial and physical infrastructure (e.g. roads, drains, and community facilities) provided through the upgrading process, thereby transforming infrastructure upkeep into a source of local income. (Financial and Physical Capital)</w:t>
      </w:r>
    </w:p>
    <w:p w:rsidR="00CE612B" w:rsidRPr="00CE612B" w:rsidRDefault="00CE612B" w:rsidP="00CE612B">
      <w:pPr>
        <w:numPr>
          <w:ilvl w:val="0"/>
          <w:numId w:val="46"/>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Support for Job Seekers:</w:t>
      </w:r>
      <w:r w:rsidRPr="00CE612B">
        <w:rPr>
          <w:rFonts w:ascii="Times New Roman" w:eastAsia="Times New Roman" w:hAnsi="Times New Roman" w:cs="Times New Roman"/>
          <w:sz w:val="24"/>
          <w:szCs w:val="24"/>
          <w:lang w:val="en-ZA" w:eastAsia="en-ZA"/>
        </w:rPr>
        <w:t xml:space="preserve"> Providing comprehensive support to job seekers, including CV preparation, interview coaching, and facilitating linkages with formal sector employers and placement agencies outside the immediate settlement area. (Human Capital)</w:t>
      </w:r>
    </w:p>
    <w:p w:rsidR="00CE612B" w:rsidRPr="00CE612B" w:rsidRDefault="00CE612B" w:rsidP="00CE612B">
      <w:pPr>
        <w:numPr>
          <w:ilvl w:val="0"/>
          <w:numId w:val="46"/>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Adult Basic Education:</w:t>
      </w:r>
      <w:r w:rsidRPr="00CE612B">
        <w:rPr>
          <w:rFonts w:ascii="Times New Roman" w:eastAsia="Times New Roman" w:hAnsi="Times New Roman" w:cs="Times New Roman"/>
          <w:sz w:val="24"/>
          <w:szCs w:val="24"/>
          <w:lang w:val="en-ZA" w:eastAsia="en-ZA"/>
        </w:rPr>
        <w:t xml:space="preserve"> Offering adult basic literacy training, alongside basic numeracy and financial literacy, to improve residents' foundational skills and increase their access to entry-level formal employment opportunities. (Human Capital)</w:t>
      </w:r>
    </w:p>
    <w:p w:rsidR="00CE612B" w:rsidRPr="00CE612B" w:rsidRDefault="00CE612B" w:rsidP="00CE612B">
      <w:pPr>
        <w:numPr>
          <w:ilvl w:val="0"/>
          <w:numId w:val="46"/>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Vocational Training and Apprenticeships:</w:t>
      </w:r>
      <w:r w:rsidRPr="00CE612B">
        <w:rPr>
          <w:rFonts w:ascii="Times New Roman" w:eastAsia="Times New Roman" w:hAnsi="Times New Roman" w:cs="Times New Roman"/>
          <w:sz w:val="24"/>
          <w:szCs w:val="24"/>
          <w:lang w:val="en-ZA" w:eastAsia="en-ZA"/>
        </w:rPr>
        <w:t xml:space="preserve"> Implementing targeted vocational training and apprenticeship programmes in construction, artisan trades, and service sectors, ensuring the skills provided align with both local economic demand and the long-term needs of the local municipal and regional economy. (Human Capital)</w:t>
      </w:r>
    </w:p>
    <w:p w:rsidR="00CE612B" w:rsidRPr="00CE612B" w:rsidRDefault="00CE612B" w:rsidP="00CE612B">
      <w:pPr>
        <w:spacing w:before="100" w:beforeAutospacing="1" w:after="100" w:afterAutospacing="1"/>
        <w:outlineLvl w:val="2"/>
        <w:rPr>
          <w:rFonts w:ascii="Times New Roman" w:eastAsia="Times New Roman" w:hAnsi="Times New Roman" w:cs="Times New Roman"/>
          <w:b/>
          <w:bCs/>
          <w:sz w:val="27"/>
          <w:szCs w:val="27"/>
          <w:lang w:val="en-ZA" w:eastAsia="en-ZA"/>
        </w:rPr>
      </w:pPr>
      <w:r w:rsidRPr="00CE612B">
        <w:rPr>
          <w:rFonts w:ascii="Times New Roman" w:eastAsia="Times New Roman" w:hAnsi="Times New Roman" w:cs="Times New Roman"/>
          <w:b/>
          <w:bCs/>
          <w:sz w:val="27"/>
          <w:szCs w:val="27"/>
          <w:lang w:val="en-ZA" w:eastAsia="en-ZA"/>
        </w:rPr>
        <w:t>3.3. Tenure and Asset Security (Securing Physical and Natural Capital)</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This focus area addresses the lack of legal status by transforming land rights into secure Physical and Natural Capital. This is achieved through interim and administrative tenure systems that are flexible enough to support home-based businesses.</w:t>
      </w:r>
    </w:p>
    <w:p w:rsidR="00CE612B" w:rsidRPr="00CE612B" w:rsidRDefault="00CE612B" w:rsidP="00CE612B">
      <w:pPr>
        <w:numPr>
          <w:ilvl w:val="0"/>
          <w:numId w:val="47"/>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Tenure Recognition and Rights:</w:t>
      </w:r>
      <w:r w:rsidRPr="00CE612B">
        <w:rPr>
          <w:rFonts w:ascii="Times New Roman" w:eastAsia="Times New Roman" w:hAnsi="Times New Roman" w:cs="Times New Roman"/>
          <w:sz w:val="24"/>
          <w:szCs w:val="24"/>
          <w:lang w:val="en-ZA" w:eastAsia="en-ZA"/>
        </w:rPr>
        <w:t xml:space="preserve"> Establishing a locally managed recognition of occupation database by enumerating every single household and demarcating all plots. This provides residents with the certificate of occupation, which is crucial as proof of residence. (Physical and Natural Capital security)</w:t>
      </w:r>
    </w:p>
    <w:p w:rsidR="00CE612B" w:rsidRPr="00CE612B" w:rsidRDefault="00CE612B" w:rsidP="00CE612B">
      <w:pPr>
        <w:numPr>
          <w:ilvl w:val="0"/>
          <w:numId w:val="47"/>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Flexible Tenure and Business Support:</w:t>
      </w:r>
      <w:r w:rsidRPr="00CE612B">
        <w:rPr>
          <w:rFonts w:ascii="Times New Roman" w:eastAsia="Times New Roman" w:hAnsi="Times New Roman" w:cs="Times New Roman"/>
          <w:sz w:val="24"/>
          <w:szCs w:val="24"/>
          <w:lang w:val="en-ZA" w:eastAsia="en-ZA"/>
        </w:rPr>
        <w:t xml:space="preserve"> Establishing an administrative tenure system, such as a certificate of occupation, which is </w:t>
      </w:r>
      <w:proofErr w:type="gramStart"/>
      <w:r w:rsidRPr="00CE612B">
        <w:rPr>
          <w:rFonts w:ascii="Times New Roman" w:eastAsia="Times New Roman" w:hAnsi="Times New Roman" w:cs="Times New Roman"/>
          <w:sz w:val="24"/>
          <w:szCs w:val="24"/>
          <w:lang w:val="en-ZA" w:eastAsia="en-ZA"/>
        </w:rPr>
        <w:t>explicitly</w:t>
      </w:r>
      <w:proofErr w:type="gramEnd"/>
      <w:r w:rsidRPr="00CE612B">
        <w:rPr>
          <w:rFonts w:ascii="Times New Roman" w:eastAsia="Times New Roman" w:hAnsi="Times New Roman" w:cs="Times New Roman"/>
          <w:sz w:val="24"/>
          <w:szCs w:val="24"/>
          <w:lang w:val="en-ZA" w:eastAsia="en-ZA"/>
        </w:rPr>
        <w:t xml:space="preserve"> linked to flexible land use control mechanisms. This allows residents to legally operate home-based businesses (e.g. a hair salon or a </w:t>
      </w:r>
      <w:proofErr w:type="spellStart"/>
      <w:r w:rsidRPr="00CE612B">
        <w:rPr>
          <w:rFonts w:ascii="Times New Roman" w:eastAsia="Times New Roman" w:hAnsi="Times New Roman" w:cs="Times New Roman"/>
          <w:sz w:val="24"/>
          <w:szCs w:val="24"/>
          <w:lang w:val="en-ZA" w:eastAsia="en-ZA"/>
        </w:rPr>
        <w:t>spaza</w:t>
      </w:r>
      <w:proofErr w:type="spellEnd"/>
      <w:r w:rsidRPr="00CE612B">
        <w:rPr>
          <w:rFonts w:ascii="Times New Roman" w:eastAsia="Times New Roman" w:hAnsi="Times New Roman" w:cs="Times New Roman"/>
          <w:sz w:val="24"/>
          <w:szCs w:val="24"/>
          <w:lang w:val="en-ZA" w:eastAsia="en-ZA"/>
        </w:rPr>
        <w:t xml:space="preserve"> shop) from their dwelling, provided they prevent nuisance and negative externalities. (Physical Capital security and flexibility)</w:t>
      </w:r>
    </w:p>
    <w:p w:rsidR="00CE612B" w:rsidRPr="00CE612B" w:rsidRDefault="00CE612B" w:rsidP="00CE612B">
      <w:pPr>
        <w:spacing w:before="100" w:beforeAutospacing="1" w:after="100" w:afterAutospacing="1"/>
        <w:outlineLvl w:val="2"/>
        <w:rPr>
          <w:rFonts w:ascii="Times New Roman" w:eastAsia="Times New Roman" w:hAnsi="Times New Roman" w:cs="Times New Roman"/>
          <w:b/>
          <w:bCs/>
          <w:sz w:val="27"/>
          <w:szCs w:val="27"/>
          <w:lang w:val="en-ZA" w:eastAsia="en-ZA"/>
        </w:rPr>
      </w:pPr>
      <w:r w:rsidRPr="00CE612B">
        <w:rPr>
          <w:rFonts w:ascii="Times New Roman" w:eastAsia="Times New Roman" w:hAnsi="Times New Roman" w:cs="Times New Roman"/>
          <w:b/>
          <w:bCs/>
          <w:sz w:val="27"/>
          <w:szCs w:val="27"/>
          <w:lang w:val="en-ZA" w:eastAsia="en-ZA"/>
        </w:rPr>
        <w:lastRenderedPageBreak/>
        <w:t>3.4. Spatial and Physical Enablement (Building Physical Capital)</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These strategies provide the basic Physical Capital and facilities necessary to support both social well-being and economic activity.</w:t>
      </w:r>
    </w:p>
    <w:p w:rsidR="00CE612B" w:rsidRPr="00CE612B" w:rsidRDefault="00CE612B" w:rsidP="00CE612B">
      <w:pPr>
        <w:numPr>
          <w:ilvl w:val="0"/>
          <w:numId w:val="48"/>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Electrification and Energy Access:</w:t>
      </w:r>
      <w:r w:rsidRPr="00CE612B">
        <w:rPr>
          <w:rFonts w:ascii="Times New Roman" w:eastAsia="Times New Roman" w:hAnsi="Times New Roman" w:cs="Times New Roman"/>
          <w:sz w:val="24"/>
          <w:szCs w:val="24"/>
          <w:lang w:val="en-ZA" w:eastAsia="en-ZA"/>
        </w:rPr>
        <w:t xml:space="preserve"> Electrification is a fundamental driver of livelihoods. Upgrading settlements by providing pre-payment electricity ensures that small businesses can have appropriate equipment needed to function and they can operate safely and efficiently in the dark. This provision must ensure indigent households receive free basic services. (Physical Capital)</w:t>
      </w:r>
    </w:p>
    <w:p w:rsidR="00CE612B" w:rsidRPr="00CE612B" w:rsidRDefault="00CE612B" w:rsidP="00CE612B">
      <w:pPr>
        <w:numPr>
          <w:ilvl w:val="0"/>
          <w:numId w:val="48"/>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Basic Services and Roads:</w:t>
      </w:r>
      <w:r w:rsidRPr="00CE612B">
        <w:rPr>
          <w:rFonts w:ascii="Times New Roman" w:eastAsia="Times New Roman" w:hAnsi="Times New Roman" w:cs="Times New Roman"/>
          <w:sz w:val="24"/>
          <w:szCs w:val="24"/>
          <w:lang w:val="en-ZA" w:eastAsia="en-ZA"/>
        </w:rPr>
        <w:t xml:space="preserve"> Ensuring the implementation of land tenure and the provision of basic services such as water, sanitation, and solid waste management. This includes grading roads and providing pedestrian access. (Physical Capital)</w:t>
      </w:r>
    </w:p>
    <w:p w:rsidR="00CE612B" w:rsidRPr="00CE612B" w:rsidRDefault="00CE612B" w:rsidP="00CE612B">
      <w:pPr>
        <w:numPr>
          <w:ilvl w:val="0"/>
          <w:numId w:val="48"/>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Socio-Economic Facilities and Social Infrastructure:</w:t>
      </w:r>
      <w:r w:rsidRPr="00CE612B">
        <w:rPr>
          <w:rFonts w:ascii="Times New Roman" w:eastAsia="Times New Roman" w:hAnsi="Times New Roman" w:cs="Times New Roman"/>
          <w:sz w:val="24"/>
          <w:szCs w:val="24"/>
          <w:lang w:val="en-ZA" w:eastAsia="en-ZA"/>
        </w:rPr>
        <w:t xml:space="preserve"> Providing dedicated, managed spaces for micro-businesses, such as hawkers facilities and small business premises. This is complemented by developing essential social facilities like schools, primary health care clinics, and libraries. (Physical and Human Capital)</w:t>
      </w:r>
    </w:p>
    <w:p w:rsidR="00CE612B" w:rsidRPr="00CE612B" w:rsidRDefault="00CE612B" w:rsidP="00CE612B">
      <w:pPr>
        <w:spacing w:before="100" w:beforeAutospacing="1" w:after="100" w:afterAutospacing="1"/>
        <w:outlineLvl w:val="2"/>
        <w:rPr>
          <w:rFonts w:ascii="Times New Roman" w:eastAsia="Times New Roman" w:hAnsi="Times New Roman" w:cs="Times New Roman"/>
          <w:b/>
          <w:bCs/>
          <w:sz w:val="27"/>
          <w:szCs w:val="27"/>
          <w:lang w:val="en-ZA" w:eastAsia="en-ZA"/>
        </w:rPr>
      </w:pPr>
      <w:r w:rsidRPr="00CE612B">
        <w:rPr>
          <w:rFonts w:ascii="Times New Roman" w:eastAsia="Times New Roman" w:hAnsi="Times New Roman" w:cs="Times New Roman"/>
          <w:b/>
          <w:bCs/>
          <w:sz w:val="27"/>
          <w:szCs w:val="27"/>
          <w:lang w:val="en-ZA" w:eastAsia="en-ZA"/>
        </w:rPr>
        <w:t>3.5. Environmental Sustainability and Natural Capital (Protecting Natural Capital)</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These strategies specifically link livelihood creation to the management and preservation of the Natural Environment, protecting Natural Capital while simultaneously generating income.</w:t>
      </w:r>
    </w:p>
    <w:p w:rsidR="00CE612B" w:rsidRPr="00CE612B" w:rsidRDefault="00CE612B" w:rsidP="00CE612B">
      <w:pPr>
        <w:numPr>
          <w:ilvl w:val="0"/>
          <w:numId w:val="49"/>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Environmental Work Programmes:</w:t>
      </w:r>
      <w:r w:rsidRPr="00CE612B">
        <w:rPr>
          <w:rFonts w:ascii="Times New Roman" w:eastAsia="Times New Roman" w:hAnsi="Times New Roman" w:cs="Times New Roman"/>
          <w:sz w:val="24"/>
          <w:szCs w:val="24"/>
          <w:lang w:val="en-ZA" w:eastAsia="en-ZA"/>
        </w:rPr>
        <w:t xml:space="preserve"> Organising labour-intensive programmes like 'Working for Water' or 'Alien Vegetation Eradication' to pay residents for environmental cleanup and protecting water resources. (Financial and Natural Capital)</w:t>
      </w:r>
    </w:p>
    <w:p w:rsidR="00CE612B" w:rsidRPr="00CE612B" w:rsidRDefault="00CE612B" w:rsidP="00CE612B">
      <w:pPr>
        <w:numPr>
          <w:ilvl w:val="0"/>
          <w:numId w:val="49"/>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Waste Management Businesses:</w:t>
      </w:r>
      <w:r w:rsidRPr="00CE612B">
        <w:rPr>
          <w:rFonts w:ascii="Times New Roman" w:eastAsia="Times New Roman" w:hAnsi="Times New Roman" w:cs="Times New Roman"/>
          <w:sz w:val="24"/>
          <w:szCs w:val="24"/>
          <w:lang w:val="en-ZA" w:eastAsia="en-ZA"/>
        </w:rPr>
        <w:t xml:space="preserve"> Supporting the formation of local waste recycling businesses and composting programmes to transform public health hazards into a source of income. (Financial and Natural Capital)</w:t>
      </w:r>
    </w:p>
    <w:p w:rsidR="00CE612B" w:rsidRPr="00CE612B" w:rsidRDefault="00CE612B" w:rsidP="00CE612B">
      <w:pPr>
        <w:spacing w:before="100" w:beforeAutospacing="1" w:after="100" w:afterAutospacing="1"/>
        <w:outlineLvl w:val="2"/>
        <w:rPr>
          <w:rFonts w:ascii="Times New Roman" w:eastAsia="Times New Roman" w:hAnsi="Times New Roman" w:cs="Times New Roman"/>
          <w:b/>
          <w:bCs/>
          <w:sz w:val="27"/>
          <w:szCs w:val="27"/>
          <w:lang w:val="en-ZA" w:eastAsia="en-ZA"/>
        </w:rPr>
      </w:pPr>
      <w:r w:rsidRPr="00CE612B">
        <w:rPr>
          <w:rFonts w:ascii="Times New Roman" w:eastAsia="Times New Roman" w:hAnsi="Times New Roman" w:cs="Times New Roman"/>
          <w:b/>
          <w:bCs/>
          <w:sz w:val="27"/>
          <w:szCs w:val="27"/>
          <w:lang w:val="en-ZA" w:eastAsia="en-ZA"/>
        </w:rPr>
        <w:t>3.6. Community Empowerment and Governance (Building Social Capital)</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These strategies focus on strengthening Social Capital and ensuring that Policies, Institutions, and Processes at the municipal level are effective, pro-poor, and responsive.</w:t>
      </w:r>
    </w:p>
    <w:p w:rsidR="00CE612B" w:rsidRPr="00CE612B" w:rsidRDefault="00CE612B" w:rsidP="00CE612B">
      <w:pPr>
        <w:numPr>
          <w:ilvl w:val="0"/>
          <w:numId w:val="50"/>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Participatory Planning and Institutional Capacity:</w:t>
      </w:r>
      <w:r w:rsidRPr="00CE612B">
        <w:rPr>
          <w:rFonts w:ascii="Times New Roman" w:eastAsia="Times New Roman" w:hAnsi="Times New Roman" w:cs="Times New Roman"/>
          <w:sz w:val="24"/>
          <w:szCs w:val="24"/>
          <w:lang w:val="en-ZA" w:eastAsia="en-ZA"/>
        </w:rPr>
        <w:t xml:space="preserve"> Actively involving residents in planning and decision-making (e.g. through participative local planning). This builds the institutional and technical capacity of Municipalities. (Social Capital)</w:t>
      </w:r>
    </w:p>
    <w:p w:rsidR="00CE612B" w:rsidRPr="00CE612B" w:rsidRDefault="00CE612B" w:rsidP="00CE612B">
      <w:pPr>
        <w:numPr>
          <w:ilvl w:val="0"/>
          <w:numId w:val="50"/>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Strengthening Social Finance:</w:t>
      </w:r>
      <w:r w:rsidRPr="00CE612B">
        <w:rPr>
          <w:rFonts w:ascii="Times New Roman" w:eastAsia="Times New Roman" w:hAnsi="Times New Roman" w:cs="Times New Roman"/>
          <w:sz w:val="24"/>
          <w:szCs w:val="24"/>
          <w:lang w:val="en-ZA" w:eastAsia="en-ZA"/>
        </w:rPr>
        <w:t xml:space="preserve"> Fostering strong community networks to enhance social capital, enabling residents to support each other through collective structures like local savings and loans schemes, </w:t>
      </w:r>
      <w:proofErr w:type="spellStart"/>
      <w:r w:rsidRPr="00CE612B">
        <w:rPr>
          <w:rFonts w:ascii="Times New Roman" w:eastAsia="Times New Roman" w:hAnsi="Times New Roman" w:cs="Times New Roman"/>
          <w:sz w:val="24"/>
          <w:szCs w:val="24"/>
          <w:lang w:val="en-ZA" w:eastAsia="en-ZA"/>
        </w:rPr>
        <w:t>stokvels</w:t>
      </w:r>
      <w:proofErr w:type="spellEnd"/>
      <w:r w:rsidRPr="00CE612B">
        <w:rPr>
          <w:rFonts w:ascii="Times New Roman" w:eastAsia="Times New Roman" w:hAnsi="Times New Roman" w:cs="Times New Roman"/>
          <w:sz w:val="24"/>
          <w:szCs w:val="24"/>
          <w:lang w:val="en-ZA" w:eastAsia="en-ZA"/>
        </w:rPr>
        <w:t>, and bulk buying clubs. This also includes supporting the establishment of community funds where a small portion of revenue from services (e.g. electricity pre-payments) is set aside for local leadership structures to use for community projects or helping residents in distress. (Social and Financial Capital)</w:t>
      </w:r>
    </w:p>
    <w:p w:rsidR="00CE612B" w:rsidRPr="00CE612B" w:rsidRDefault="00CE612B" w:rsidP="00CE612B">
      <w:pPr>
        <w:numPr>
          <w:ilvl w:val="0"/>
          <w:numId w:val="50"/>
        </w:num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b/>
          <w:bCs/>
          <w:sz w:val="24"/>
          <w:szCs w:val="24"/>
          <w:lang w:val="en-ZA" w:eastAsia="en-ZA"/>
        </w:rPr>
        <w:t>Pro-Poor Policies and Implementation:</w:t>
      </w:r>
      <w:r w:rsidRPr="00CE612B">
        <w:rPr>
          <w:rFonts w:ascii="Times New Roman" w:eastAsia="Times New Roman" w:hAnsi="Times New Roman" w:cs="Times New Roman"/>
          <w:sz w:val="24"/>
          <w:szCs w:val="24"/>
          <w:lang w:val="en-ZA" w:eastAsia="en-ZA"/>
        </w:rPr>
        <w:t xml:space="preserve"> Ensuring that all Municipal policies relating to matters such as Local Economic Development (LED) and procurement are pro-</w:t>
      </w:r>
      <w:r w:rsidRPr="00CE612B">
        <w:rPr>
          <w:rFonts w:ascii="Times New Roman" w:eastAsia="Times New Roman" w:hAnsi="Times New Roman" w:cs="Times New Roman"/>
          <w:sz w:val="24"/>
          <w:szCs w:val="24"/>
          <w:lang w:val="en-ZA" w:eastAsia="en-ZA"/>
        </w:rPr>
        <w:lastRenderedPageBreak/>
        <w:t>poor and directed towards people living in informal settlements. (Social Capital influence over PIPs)</w:t>
      </w:r>
    </w:p>
    <w:p w:rsidR="00CE612B" w:rsidRPr="00CE612B" w:rsidRDefault="00CE612B" w:rsidP="00CE612B">
      <w:pPr>
        <w:spacing w:before="100" w:beforeAutospacing="1" w:after="100" w:afterAutospacing="1"/>
        <w:outlineLvl w:val="1"/>
        <w:rPr>
          <w:rFonts w:ascii="Times New Roman" w:eastAsia="Times New Roman" w:hAnsi="Times New Roman" w:cs="Times New Roman"/>
          <w:b/>
          <w:bCs/>
          <w:sz w:val="36"/>
          <w:szCs w:val="36"/>
          <w:lang w:val="en-ZA" w:eastAsia="en-ZA"/>
        </w:rPr>
      </w:pPr>
      <w:r w:rsidRPr="00CE612B">
        <w:rPr>
          <w:rFonts w:ascii="Times New Roman" w:eastAsia="Times New Roman" w:hAnsi="Times New Roman" w:cs="Times New Roman"/>
          <w:b/>
          <w:bCs/>
          <w:sz w:val="36"/>
          <w:szCs w:val="36"/>
          <w:lang w:val="en-ZA" w:eastAsia="en-ZA"/>
        </w:rPr>
        <w:t>4. Relevance to Managed Land Settlement Areas</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 xml:space="preserve">These comprehensive livelihood strategies are not exclusive to informal settlements undergoing </w:t>
      </w:r>
      <w:r w:rsidRPr="00CE612B">
        <w:rPr>
          <w:rFonts w:ascii="Times New Roman" w:eastAsia="Times New Roman" w:hAnsi="Times New Roman" w:cs="Times New Roman"/>
          <w:i/>
          <w:iCs/>
          <w:sz w:val="24"/>
          <w:szCs w:val="24"/>
          <w:lang w:val="en-ZA" w:eastAsia="en-ZA"/>
        </w:rPr>
        <w:t>in-situ</w:t>
      </w:r>
      <w:r w:rsidRPr="00CE612B">
        <w:rPr>
          <w:rFonts w:ascii="Times New Roman" w:eastAsia="Times New Roman" w:hAnsi="Times New Roman" w:cs="Times New Roman"/>
          <w:sz w:val="24"/>
          <w:szCs w:val="24"/>
          <w:lang w:val="en-ZA" w:eastAsia="en-ZA"/>
        </w:rPr>
        <w:t xml:space="preserve"> upgrading. They are equally vital for Managed Land Settlement (MLS) Areas. MLS areas are typically pieces of land, often municipally owned, where people </w:t>
      </w:r>
      <w:r w:rsidR="007704C0">
        <w:rPr>
          <w:rFonts w:ascii="Times New Roman" w:eastAsia="Times New Roman" w:hAnsi="Times New Roman" w:cs="Times New Roman"/>
          <w:sz w:val="24"/>
          <w:szCs w:val="24"/>
          <w:lang w:val="en-ZA" w:eastAsia="en-ZA"/>
        </w:rPr>
        <w:t xml:space="preserve">are settled (often </w:t>
      </w:r>
      <w:r w:rsidRPr="00CE612B">
        <w:rPr>
          <w:rFonts w:ascii="Times New Roman" w:eastAsia="Times New Roman" w:hAnsi="Times New Roman" w:cs="Times New Roman"/>
          <w:sz w:val="24"/>
          <w:szCs w:val="24"/>
          <w:lang w:val="en-ZA" w:eastAsia="en-ZA"/>
        </w:rPr>
        <w:t>from high-risk informal settlements) to receive basic services while waiting for formal housing development to take place.</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While MLS areas offer more structured planning, the residents still face the same challenges of poverty and lack of employment. Therefore, strategies focusing on Welfare and Grant Access, Economic Inclusion, and Community Empowerment are fully transferable and necessary in MLS areas to ensure these areas do not become poverty traps.</w:t>
      </w:r>
    </w:p>
    <w:p w:rsidR="00CE612B" w:rsidRPr="00CE612B" w:rsidRDefault="00CE612B" w:rsidP="00CE612B">
      <w:pPr>
        <w:spacing w:before="100" w:beforeAutospacing="1" w:after="100" w:afterAutospacing="1"/>
        <w:outlineLvl w:val="1"/>
        <w:rPr>
          <w:rFonts w:ascii="Times New Roman" w:eastAsia="Times New Roman" w:hAnsi="Times New Roman" w:cs="Times New Roman"/>
          <w:b/>
          <w:bCs/>
          <w:sz w:val="36"/>
          <w:szCs w:val="36"/>
          <w:lang w:val="en-ZA" w:eastAsia="en-ZA"/>
        </w:rPr>
      </w:pPr>
      <w:r w:rsidRPr="00CE612B">
        <w:rPr>
          <w:rFonts w:ascii="Times New Roman" w:eastAsia="Times New Roman" w:hAnsi="Times New Roman" w:cs="Times New Roman"/>
          <w:b/>
          <w:bCs/>
          <w:sz w:val="36"/>
          <w:szCs w:val="36"/>
          <w:lang w:val="en-ZA" w:eastAsia="en-ZA"/>
        </w:rPr>
        <w:t>5. Conclusion</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The challenge of upgrading informal settlements in South Africa cannot be met solely by providing houses, or roads, pipes and wires; it requires a systemic, holistic approach that addresses the economic fragility of its residents. The framework presented here, built upon the five capital assets of the Sustainable Livelihoods Framework, provides a clear roadmap for intentional asset accumulation.</w:t>
      </w:r>
    </w:p>
    <w:p w:rsidR="00CE612B" w:rsidRPr="00CE612B" w:rsidRDefault="00CE612B" w:rsidP="00CE612B">
      <w:pPr>
        <w:spacing w:before="100" w:beforeAutospacing="1" w:after="100" w:afterAutospacing="1"/>
        <w:rPr>
          <w:rFonts w:ascii="Times New Roman" w:eastAsia="Times New Roman" w:hAnsi="Times New Roman" w:cs="Times New Roman"/>
          <w:sz w:val="24"/>
          <w:szCs w:val="24"/>
          <w:lang w:val="en-ZA" w:eastAsia="en-ZA"/>
        </w:rPr>
      </w:pPr>
      <w:r w:rsidRPr="00CE612B">
        <w:rPr>
          <w:rFonts w:ascii="Times New Roman" w:eastAsia="Times New Roman" w:hAnsi="Times New Roman" w:cs="Times New Roman"/>
          <w:sz w:val="24"/>
          <w:szCs w:val="24"/>
          <w:lang w:val="en-ZA" w:eastAsia="en-ZA"/>
        </w:rPr>
        <w:t>By integrating human support (health, skills) with physical development (electrification, tenure), the programme ensures that the hard-won gains in infrastructure are not undermined by sudden economic or environmental shocks. This multi-</w:t>
      </w:r>
      <w:proofErr w:type="spellStart"/>
      <w:r w:rsidRPr="00CE612B">
        <w:rPr>
          <w:rFonts w:ascii="Times New Roman" w:eastAsia="Times New Roman" w:hAnsi="Times New Roman" w:cs="Times New Roman"/>
          <w:sz w:val="24"/>
          <w:szCs w:val="24"/>
          <w:lang w:val="en-ZA" w:eastAsia="en-ZA"/>
        </w:rPr>
        <w:t>sectoral</w:t>
      </w:r>
      <w:proofErr w:type="spellEnd"/>
      <w:r w:rsidRPr="00CE612B">
        <w:rPr>
          <w:rFonts w:ascii="Times New Roman" w:eastAsia="Times New Roman" w:hAnsi="Times New Roman" w:cs="Times New Roman"/>
          <w:sz w:val="24"/>
          <w:szCs w:val="24"/>
          <w:lang w:val="en-ZA" w:eastAsia="en-ZA"/>
        </w:rPr>
        <w:t xml:space="preserve"> strategy allows for simultaneous progress across the three UISP objectives, transforming communities by fostering security, capability, and resilience. The sustained development of the community's assets, from a secure certificate of occupation to a stable income stream, is the ultimate measure of successful upgrading and the most reliable path to long-term poverty eradication in South Africa's urban landscape.</w:t>
      </w:r>
    </w:p>
    <w:p w:rsidR="00CE612B" w:rsidRDefault="00CE612B">
      <w:pPr>
        <w:rPr>
          <w:lang w:val="en-ZA"/>
        </w:rPr>
      </w:pPr>
    </w:p>
    <w:p w:rsidR="00CE612B" w:rsidRDefault="00CE612B">
      <w:pPr>
        <w:rPr>
          <w:lang w:val="en-ZA"/>
        </w:rPr>
      </w:pPr>
    </w:p>
    <w:sectPr w:rsidR="00CE612B" w:rsidSect="00AB04D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2C5B" w:rsidRDefault="000A2C5B" w:rsidP="00AC583E">
      <w:r>
        <w:separator/>
      </w:r>
    </w:p>
  </w:endnote>
  <w:endnote w:type="continuationSeparator" w:id="0">
    <w:p w:rsidR="000A2C5B" w:rsidRDefault="000A2C5B" w:rsidP="00AC58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2C5B" w:rsidRDefault="000A2C5B" w:rsidP="00AC583E">
      <w:r>
        <w:separator/>
      </w:r>
    </w:p>
  </w:footnote>
  <w:footnote w:type="continuationSeparator" w:id="0">
    <w:p w:rsidR="000A2C5B" w:rsidRDefault="000A2C5B" w:rsidP="00AC583E">
      <w:r>
        <w:continuationSeparator/>
      </w:r>
    </w:p>
  </w:footnote>
  <w:footnote w:id="1">
    <w:p w:rsidR="000A2C5B" w:rsidRPr="000A2414" w:rsidRDefault="000A2C5B" w:rsidP="00CE612B">
      <w:pPr>
        <w:pStyle w:val="FootnoteText"/>
        <w:rPr>
          <w:lang w:val="en-ZA"/>
        </w:rPr>
      </w:pPr>
      <w:r>
        <w:rPr>
          <w:rStyle w:val="FootnoteReference"/>
        </w:rPr>
        <w:footnoteRef/>
      </w:r>
      <w:r>
        <w:t xml:space="preserve"> </w:t>
      </w:r>
      <w:proofErr w:type="spellStart"/>
      <w:proofErr w:type="gramStart"/>
      <w:r w:rsidRPr="000A2414">
        <w:t>Natarajan</w:t>
      </w:r>
      <w:proofErr w:type="spellEnd"/>
      <w:r w:rsidRPr="000A2414">
        <w:t xml:space="preserve">, N. </w:t>
      </w:r>
      <w:proofErr w:type="spellStart"/>
      <w:r w:rsidRPr="000A2414">
        <w:t>Newsham</w:t>
      </w:r>
      <w:proofErr w:type="spellEnd"/>
      <w:r w:rsidRPr="000A2414">
        <w:t xml:space="preserve">, A. </w:t>
      </w:r>
      <w:proofErr w:type="spellStart"/>
      <w:r w:rsidRPr="000A2414">
        <w:t>Rigg</w:t>
      </w:r>
      <w:proofErr w:type="spellEnd"/>
      <w:r w:rsidRPr="000A2414">
        <w:t>, J. </w:t>
      </w:r>
      <w:proofErr w:type="spellStart"/>
      <w:r w:rsidRPr="000A2414">
        <w:t>Suhardiman</w:t>
      </w:r>
      <w:proofErr w:type="spellEnd"/>
      <w:r w:rsidRPr="000A2414">
        <w:t>, D</w:t>
      </w:r>
      <w:r w:rsidRPr="000A2414">
        <w:rPr>
          <w:rFonts w:cstheme="minorHAnsi"/>
          <w:color w:val="1F1F1F"/>
        </w:rPr>
        <w:t>. (2022) A sustainable livelihoods framework for the 21st century.</w:t>
      </w:r>
      <w:proofErr w:type="gramEnd"/>
      <w:r w:rsidRPr="000A2414">
        <w:rPr>
          <w:rFonts w:cstheme="minorHAnsi"/>
          <w:color w:val="1F1F1F"/>
        </w:rPr>
        <w:t xml:space="preserve"> Available: </w:t>
      </w:r>
      <w:r w:rsidRPr="000A2414">
        <w:rPr>
          <w:rFonts w:cstheme="minorHAnsi"/>
        </w:rPr>
        <w:t xml:space="preserve"> </w:t>
      </w:r>
      <w:hyperlink r:id="rId1" w:history="1">
        <w:r w:rsidRPr="000A2414">
          <w:rPr>
            <w:rStyle w:val="Hyperlink"/>
            <w:rFonts w:cstheme="minorHAnsi"/>
          </w:rPr>
          <w:t>https://www.sciencedirect.com/science/article/pii/S0305750X22000882</w:t>
        </w:r>
      </w:hyperlink>
      <w:r w:rsidRPr="000A2414">
        <w:rPr>
          <w:rFonts w:cstheme="minorHAnsi"/>
        </w:rPr>
        <w:t xml:space="preserve"> (14 April 2026)</w:t>
      </w:r>
    </w:p>
    <w:p w:rsidR="000A2C5B" w:rsidRPr="00CE612B" w:rsidRDefault="000A2C5B">
      <w:pPr>
        <w:pStyle w:val="FootnoteText"/>
        <w:rPr>
          <w:lang w:val="en-ZA"/>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47A"/>
    <w:multiLevelType w:val="multilevel"/>
    <w:tmpl w:val="6840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AD6D8C"/>
    <w:multiLevelType w:val="multilevel"/>
    <w:tmpl w:val="C4F0C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A3463"/>
    <w:multiLevelType w:val="multilevel"/>
    <w:tmpl w:val="F650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E61E3"/>
    <w:multiLevelType w:val="multilevel"/>
    <w:tmpl w:val="2B56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DB45ED"/>
    <w:multiLevelType w:val="multilevel"/>
    <w:tmpl w:val="C3C02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9B2B9F"/>
    <w:multiLevelType w:val="multilevel"/>
    <w:tmpl w:val="3FF6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3E7C6A"/>
    <w:multiLevelType w:val="multilevel"/>
    <w:tmpl w:val="7DC44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1130C0"/>
    <w:multiLevelType w:val="multilevel"/>
    <w:tmpl w:val="C664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E25EF5"/>
    <w:multiLevelType w:val="multilevel"/>
    <w:tmpl w:val="69D2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896582"/>
    <w:multiLevelType w:val="multilevel"/>
    <w:tmpl w:val="1698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3F4590"/>
    <w:multiLevelType w:val="multilevel"/>
    <w:tmpl w:val="E49A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8208DE"/>
    <w:multiLevelType w:val="multilevel"/>
    <w:tmpl w:val="AB68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17D669E"/>
    <w:multiLevelType w:val="multilevel"/>
    <w:tmpl w:val="20A0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7B7F87"/>
    <w:multiLevelType w:val="multilevel"/>
    <w:tmpl w:val="62B89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CD2E7F"/>
    <w:multiLevelType w:val="multilevel"/>
    <w:tmpl w:val="14C2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755C15"/>
    <w:multiLevelType w:val="multilevel"/>
    <w:tmpl w:val="A50C5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5D75D75"/>
    <w:multiLevelType w:val="multilevel"/>
    <w:tmpl w:val="28907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E27597"/>
    <w:multiLevelType w:val="multilevel"/>
    <w:tmpl w:val="0AE08D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6E969C1"/>
    <w:multiLevelType w:val="multilevel"/>
    <w:tmpl w:val="C9FC5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8C00EEB"/>
    <w:multiLevelType w:val="multilevel"/>
    <w:tmpl w:val="23EA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9765B2B"/>
    <w:multiLevelType w:val="multilevel"/>
    <w:tmpl w:val="B4662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4C3450"/>
    <w:multiLevelType w:val="multilevel"/>
    <w:tmpl w:val="24DC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6BC7A07"/>
    <w:multiLevelType w:val="multilevel"/>
    <w:tmpl w:val="4728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7904E59"/>
    <w:multiLevelType w:val="multilevel"/>
    <w:tmpl w:val="024A1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92911D0"/>
    <w:multiLevelType w:val="multilevel"/>
    <w:tmpl w:val="2CC609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AC01B42"/>
    <w:multiLevelType w:val="multilevel"/>
    <w:tmpl w:val="EEFA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AF760CF"/>
    <w:multiLevelType w:val="multilevel"/>
    <w:tmpl w:val="594C3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C471F53"/>
    <w:multiLevelType w:val="multilevel"/>
    <w:tmpl w:val="DFB4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0055095"/>
    <w:multiLevelType w:val="multilevel"/>
    <w:tmpl w:val="63BA7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2BA1BFA"/>
    <w:multiLevelType w:val="multilevel"/>
    <w:tmpl w:val="E0C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2C95956"/>
    <w:multiLevelType w:val="multilevel"/>
    <w:tmpl w:val="DF2C5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80E176C"/>
    <w:multiLevelType w:val="multilevel"/>
    <w:tmpl w:val="7CA6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BF82EC2"/>
    <w:multiLevelType w:val="multilevel"/>
    <w:tmpl w:val="244E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F35703C"/>
    <w:multiLevelType w:val="multilevel"/>
    <w:tmpl w:val="1B42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0C83DDE"/>
    <w:multiLevelType w:val="multilevel"/>
    <w:tmpl w:val="7C6C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23A3A32"/>
    <w:multiLevelType w:val="multilevel"/>
    <w:tmpl w:val="A580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2E568CD"/>
    <w:multiLevelType w:val="multilevel"/>
    <w:tmpl w:val="931A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8697F44"/>
    <w:multiLevelType w:val="multilevel"/>
    <w:tmpl w:val="5A44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C905CEE"/>
    <w:multiLevelType w:val="multilevel"/>
    <w:tmpl w:val="B8B0A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D7A577E"/>
    <w:multiLevelType w:val="multilevel"/>
    <w:tmpl w:val="826E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DFA0961"/>
    <w:multiLevelType w:val="multilevel"/>
    <w:tmpl w:val="D8F82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F3F3C41"/>
    <w:multiLevelType w:val="multilevel"/>
    <w:tmpl w:val="9602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07651FB"/>
    <w:multiLevelType w:val="multilevel"/>
    <w:tmpl w:val="94FC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0804BE2"/>
    <w:multiLevelType w:val="multilevel"/>
    <w:tmpl w:val="B7583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1984FB1"/>
    <w:multiLevelType w:val="multilevel"/>
    <w:tmpl w:val="161A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5220B7C"/>
    <w:multiLevelType w:val="multilevel"/>
    <w:tmpl w:val="8356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5CF01B6"/>
    <w:multiLevelType w:val="multilevel"/>
    <w:tmpl w:val="807A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125583B"/>
    <w:multiLevelType w:val="multilevel"/>
    <w:tmpl w:val="359A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BA84271"/>
    <w:multiLevelType w:val="multilevel"/>
    <w:tmpl w:val="6A0A5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FB8171C"/>
    <w:multiLevelType w:val="multilevel"/>
    <w:tmpl w:val="62C0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32"/>
  </w:num>
  <w:num w:numId="3">
    <w:abstractNumId w:val="0"/>
  </w:num>
  <w:num w:numId="4">
    <w:abstractNumId w:val="16"/>
  </w:num>
  <w:num w:numId="5">
    <w:abstractNumId w:val="49"/>
  </w:num>
  <w:num w:numId="6">
    <w:abstractNumId w:val="27"/>
  </w:num>
  <w:num w:numId="7">
    <w:abstractNumId w:val="28"/>
  </w:num>
  <w:num w:numId="8">
    <w:abstractNumId w:val="24"/>
  </w:num>
  <w:num w:numId="9">
    <w:abstractNumId w:val="39"/>
  </w:num>
  <w:num w:numId="10">
    <w:abstractNumId w:val="31"/>
  </w:num>
  <w:num w:numId="11">
    <w:abstractNumId w:val="34"/>
  </w:num>
  <w:num w:numId="12">
    <w:abstractNumId w:val="2"/>
  </w:num>
  <w:num w:numId="13">
    <w:abstractNumId w:val="3"/>
  </w:num>
  <w:num w:numId="14">
    <w:abstractNumId w:val="41"/>
  </w:num>
  <w:num w:numId="15">
    <w:abstractNumId w:val="12"/>
  </w:num>
  <w:num w:numId="16">
    <w:abstractNumId w:val="22"/>
  </w:num>
  <w:num w:numId="17">
    <w:abstractNumId w:val="23"/>
  </w:num>
  <w:num w:numId="18">
    <w:abstractNumId w:val="43"/>
  </w:num>
  <w:num w:numId="19">
    <w:abstractNumId w:val="25"/>
  </w:num>
  <w:num w:numId="20">
    <w:abstractNumId w:val="29"/>
  </w:num>
  <w:num w:numId="21">
    <w:abstractNumId w:val="40"/>
  </w:num>
  <w:num w:numId="22">
    <w:abstractNumId w:val="44"/>
  </w:num>
  <w:num w:numId="23">
    <w:abstractNumId w:val="21"/>
  </w:num>
  <w:num w:numId="24">
    <w:abstractNumId w:val="7"/>
  </w:num>
  <w:num w:numId="25">
    <w:abstractNumId w:val="47"/>
  </w:num>
  <w:num w:numId="26">
    <w:abstractNumId w:val="9"/>
  </w:num>
  <w:num w:numId="27">
    <w:abstractNumId w:val="8"/>
  </w:num>
  <w:num w:numId="28">
    <w:abstractNumId w:val="17"/>
  </w:num>
  <w:num w:numId="29">
    <w:abstractNumId w:val="38"/>
  </w:num>
  <w:num w:numId="30">
    <w:abstractNumId w:val="26"/>
  </w:num>
  <w:num w:numId="31">
    <w:abstractNumId w:val="42"/>
  </w:num>
  <w:num w:numId="32">
    <w:abstractNumId w:val="30"/>
  </w:num>
  <w:num w:numId="33">
    <w:abstractNumId w:val="19"/>
  </w:num>
  <w:num w:numId="34">
    <w:abstractNumId w:val="11"/>
  </w:num>
  <w:num w:numId="35">
    <w:abstractNumId w:val="14"/>
  </w:num>
  <w:num w:numId="36">
    <w:abstractNumId w:val="6"/>
  </w:num>
  <w:num w:numId="37">
    <w:abstractNumId w:val="15"/>
  </w:num>
  <w:num w:numId="38">
    <w:abstractNumId w:val="45"/>
  </w:num>
  <w:num w:numId="39">
    <w:abstractNumId w:val="13"/>
  </w:num>
  <w:num w:numId="40">
    <w:abstractNumId w:val="46"/>
  </w:num>
  <w:num w:numId="41">
    <w:abstractNumId w:val="4"/>
  </w:num>
  <w:num w:numId="42">
    <w:abstractNumId w:val="5"/>
  </w:num>
  <w:num w:numId="43">
    <w:abstractNumId w:val="36"/>
  </w:num>
  <w:num w:numId="44">
    <w:abstractNumId w:val="35"/>
  </w:num>
  <w:num w:numId="45">
    <w:abstractNumId w:val="1"/>
  </w:num>
  <w:num w:numId="46">
    <w:abstractNumId w:val="48"/>
  </w:num>
  <w:num w:numId="47">
    <w:abstractNumId w:val="18"/>
  </w:num>
  <w:num w:numId="48">
    <w:abstractNumId w:val="37"/>
  </w:num>
  <w:num w:numId="49">
    <w:abstractNumId w:val="10"/>
  </w:num>
  <w:num w:numId="50">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9758A"/>
    <w:rsid w:val="000A2414"/>
    <w:rsid w:val="000A2C5B"/>
    <w:rsid w:val="000B5329"/>
    <w:rsid w:val="00127080"/>
    <w:rsid w:val="0016710B"/>
    <w:rsid w:val="00181AC5"/>
    <w:rsid w:val="00244A70"/>
    <w:rsid w:val="003251C2"/>
    <w:rsid w:val="005601F4"/>
    <w:rsid w:val="00674C68"/>
    <w:rsid w:val="007704C0"/>
    <w:rsid w:val="007A77CD"/>
    <w:rsid w:val="00873F75"/>
    <w:rsid w:val="00934A74"/>
    <w:rsid w:val="009D025B"/>
    <w:rsid w:val="00A047C9"/>
    <w:rsid w:val="00A26012"/>
    <w:rsid w:val="00A77C48"/>
    <w:rsid w:val="00A9225C"/>
    <w:rsid w:val="00A92A6A"/>
    <w:rsid w:val="00A96F9A"/>
    <w:rsid w:val="00AA3C73"/>
    <w:rsid w:val="00AB04D5"/>
    <w:rsid w:val="00AC583E"/>
    <w:rsid w:val="00AD4104"/>
    <w:rsid w:val="00B429C7"/>
    <w:rsid w:val="00C055BF"/>
    <w:rsid w:val="00C2591A"/>
    <w:rsid w:val="00CC444B"/>
    <w:rsid w:val="00CE612B"/>
    <w:rsid w:val="00CE67F3"/>
    <w:rsid w:val="00D01327"/>
    <w:rsid w:val="00D0279B"/>
    <w:rsid w:val="00D77C80"/>
    <w:rsid w:val="00DB35CB"/>
    <w:rsid w:val="00DD31AB"/>
    <w:rsid w:val="00DE62EA"/>
    <w:rsid w:val="00E01BAF"/>
    <w:rsid w:val="00E07623"/>
    <w:rsid w:val="00E35E54"/>
    <w:rsid w:val="00E53EFA"/>
    <w:rsid w:val="00E57CFE"/>
    <w:rsid w:val="00E64507"/>
    <w:rsid w:val="00E866D3"/>
    <w:rsid w:val="00E935D4"/>
    <w:rsid w:val="00E9758A"/>
    <w:rsid w:val="00EA5386"/>
    <w:rsid w:val="00EB6A25"/>
    <w:rsid w:val="00ED1A31"/>
    <w:rsid w:val="00F97BA4"/>
    <w:rsid w:val="00FD4379"/>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4D5"/>
    <w:rPr>
      <w:lang w:val="en-GB"/>
    </w:rPr>
  </w:style>
  <w:style w:type="paragraph" w:styleId="Heading1">
    <w:name w:val="heading 1"/>
    <w:basedOn w:val="Normal"/>
    <w:link w:val="Heading1Char"/>
    <w:uiPriority w:val="9"/>
    <w:qFormat/>
    <w:rsid w:val="00E9758A"/>
    <w:pPr>
      <w:spacing w:before="100" w:beforeAutospacing="1" w:after="100" w:afterAutospacing="1"/>
      <w:outlineLvl w:val="0"/>
    </w:pPr>
    <w:rPr>
      <w:rFonts w:ascii="Times New Roman" w:eastAsia="Times New Roman" w:hAnsi="Times New Roman" w:cs="Times New Roman"/>
      <w:b/>
      <w:bCs/>
      <w:kern w:val="36"/>
      <w:sz w:val="48"/>
      <w:szCs w:val="48"/>
      <w:lang w:val="en-ZA" w:eastAsia="en-ZA"/>
    </w:rPr>
  </w:style>
  <w:style w:type="paragraph" w:styleId="Heading2">
    <w:name w:val="heading 2"/>
    <w:basedOn w:val="Normal"/>
    <w:link w:val="Heading2Char"/>
    <w:uiPriority w:val="9"/>
    <w:qFormat/>
    <w:rsid w:val="00E9758A"/>
    <w:pPr>
      <w:spacing w:before="100" w:beforeAutospacing="1" w:after="100" w:afterAutospacing="1"/>
      <w:outlineLvl w:val="1"/>
    </w:pPr>
    <w:rPr>
      <w:rFonts w:ascii="Times New Roman" w:eastAsia="Times New Roman" w:hAnsi="Times New Roman" w:cs="Times New Roman"/>
      <w:b/>
      <w:bCs/>
      <w:sz w:val="36"/>
      <w:szCs w:val="36"/>
      <w:lang w:val="en-ZA" w:eastAsia="en-ZA"/>
    </w:rPr>
  </w:style>
  <w:style w:type="paragraph" w:styleId="Heading3">
    <w:name w:val="heading 3"/>
    <w:basedOn w:val="Normal"/>
    <w:link w:val="Heading3Char"/>
    <w:uiPriority w:val="9"/>
    <w:qFormat/>
    <w:rsid w:val="00E9758A"/>
    <w:pPr>
      <w:spacing w:before="100" w:beforeAutospacing="1" w:after="100" w:afterAutospacing="1"/>
      <w:outlineLvl w:val="2"/>
    </w:pPr>
    <w:rPr>
      <w:rFonts w:ascii="Times New Roman" w:eastAsia="Times New Roman" w:hAnsi="Times New Roman" w:cs="Times New Roman"/>
      <w:b/>
      <w:bCs/>
      <w:sz w:val="27"/>
      <w:szCs w:val="27"/>
      <w:lang w:val="en-ZA" w:eastAsia="en-ZA"/>
    </w:rPr>
  </w:style>
  <w:style w:type="paragraph" w:styleId="Heading4">
    <w:name w:val="heading 4"/>
    <w:basedOn w:val="Normal"/>
    <w:next w:val="Normal"/>
    <w:link w:val="Heading4Char"/>
    <w:uiPriority w:val="9"/>
    <w:semiHidden/>
    <w:unhideWhenUsed/>
    <w:qFormat/>
    <w:rsid w:val="00EA538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58A"/>
    <w:rPr>
      <w:rFonts w:ascii="Times New Roman" w:eastAsia="Times New Roman" w:hAnsi="Times New Roman" w:cs="Times New Roman"/>
      <w:b/>
      <w:bCs/>
      <w:kern w:val="36"/>
      <w:sz w:val="48"/>
      <w:szCs w:val="48"/>
      <w:lang w:eastAsia="en-ZA"/>
    </w:rPr>
  </w:style>
  <w:style w:type="character" w:customStyle="1" w:styleId="Heading2Char">
    <w:name w:val="Heading 2 Char"/>
    <w:basedOn w:val="DefaultParagraphFont"/>
    <w:link w:val="Heading2"/>
    <w:uiPriority w:val="9"/>
    <w:rsid w:val="00E9758A"/>
    <w:rPr>
      <w:rFonts w:ascii="Times New Roman" w:eastAsia="Times New Roman" w:hAnsi="Times New Roman" w:cs="Times New Roman"/>
      <w:b/>
      <w:bCs/>
      <w:sz w:val="36"/>
      <w:szCs w:val="36"/>
      <w:lang w:eastAsia="en-ZA"/>
    </w:rPr>
  </w:style>
  <w:style w:type="character" w:customStyle="1" w:styleId="Heading3Char">
    <w:name w:val="Heading 3 Char"/>
    <w:basedOn w:val="DefaultParagraphFont"/>
    <w:link w:val="Heading3"/>
    <w:uiPriority w:val="9"/>
    <w:rsid w:val="00E9758A"/>
    <w:rPr>
      <w:rFonts w:ascii="Times New Roman" w:eastAsia="Times New Roman" w:hAnsi="Times New Roman" w:cs="Times New Roman"/>
      <w:b/>
      <w:bCs/>
      <w:sz w:val="27"/>
      <w:szCs w:val="27"/>
      <w:lang w:eastAsia="en-ZA"/>
    </w:rPr>
  </w:style>
  <w:style w:type="paragraph" w:styleId="NormalWeb">
    <w:name w:val="Normal (Web)"/>
    <w:basedOn w:val="Normal"/>
    <w:uiPriority w:val="99"/>
    <w:unhideWhenUsed/>
    <w:rsid w:val="00E9758A"/>
    <w:pPr>
      <w:spacing w:before="100" w:beforeAutospacing="1" w:after="100" w:afterAutospacing="1"/>
    </w:pPr>
    <w:rPr>
      <w:rFonts w:ascii="Times New Roman" w:eastAsia="Times New Roman" w:hAnsi="Times New Roman" w:cs="Times New Roman"/>
      <w:sz w:val="24"/>
      <w:szCs w:val="24"/>
      <w:lang w:val="en-ZA" w:eastAsia="en-ZA"/>
    </w:rPr>
  </w:style>
  <w:style w:type="character" w:styleId="Strong">
    <w:name w:val="Strong"/>
    <w:basedOn w:val="DefaultParagraphFont"/>
    <w:uiPriority w:val="22"/>
    <w:qFormat/>
    <w:rsid w:val="00E9758A"/>
    <w:rPr>
      <w:b/>
      <w:bCs/>
    </w:rPr>
  </w:style>
  <w:style w:type="character" w:customStyle="1" w:styleId="Heading4Char">
    <w:name w:val="Heading 4 Char"/>
    <w:basedOn w:val="DefaultParagraphFont"/>
    <w:link w:val="Heading4"/>
    <w:uiPriority w:val="9"/>
    <w:semiHidden/>
    <w:rsid w:val="00EA5386"/>
    <w:rPr>
      <w:rFonts w:asciiTheme="majorHAnsi" w:eastAsiaTheme="majorEastAsia" w:hAnsiTheme="majorHAnsi" w:cstheme="majorBidi"/>
      <w:b/>
      <w:bCs/>
      <w:i/>
      <w:iCs/>
      <w:color w:val="4F81BD" w:themeColor="accent1"/>
      <w:lang w:val="en-GB"/>
    </w:rPr>
  </w:style>
  <w:style w:type="character" w:customStyle="1" w:styleId="citation-514">
    <w:name w:val="citation-514"/>
    <w:basedOn w:val="DefaultParagraphFont"/>
    <w:rsid w:val="00EA5386"/>
  </w:style>
  <w:style w:type="character" w:customStyle="1" w:styleId="citation-513">
    <w:name w:val="citation-513"/>
    <w:basedOn w:val="DefaultParagraphFont"/>
    <w:rsid w:val="00EA5386"/>
  </w:style>
  <w:style w:type="character" w:customStyle="1" w:styleId="citation-512">
    <w:name w:val="citation-512"/>
    <w:basedOn w:val="DefaultParagraphFont"/>
    <w:rsid w:val="00EA5386"/>
  </w:style>
  <w:style w:type="character" w:customStyle="1" w:styleId="citation-511">
    <w:name w:val="citation-511"/>
    <w:basedOn w:val="DefaultParagraphFont"/>
    <w:rsid w:val="00EA5386"/>
  </w:style>
  <w:style w:type="character" w:customStyle="1" w:styleId="citation-510">
    <w:name w:val="citation-510"/>
    <w:basedOn w:val="DefaultParagraphFont"/>
    <w:rsid w:val="00EA5386"/>
  </w:style>
  <w:style w:type="character" w:customStyle="1" w:styleId="citation-509">
    <w:name w:val="citation-509"/>
    <w:basedOn w:val="DefaultParagraphFont"/>
    <w:rsid w:val="00EA5386"/>
  </w:style>
  <w:style w:type="character" w:customStyle="1" w:styleId="citation-508">
    <w:name w:val="citation-508"/>
    <w:basedOn w:val="DefaultParagraphFont"/>
    <w:rsid w:val="00EA5386"/>
  </w:style>
  <w:style w:type="character" w:customStyle="1" w:styleId="citation-507">
    <w:name w:val="citation-507"/>
    <w:basedOn w:val="DefaultParagraphFont"/>
    <w:rsid w:val="00EA5386"/>
  </w:style>
  <w:style w:type="character" w:customStyle="1" w:styleId="citation-506">
    <w:name w:val="citation-506"/>
    <w:basedOn w:val="DefaultParagraphFont"/>
    <w:rsid w:val="00EA5386"/>
  </w:style>
  <w:style w:type="character" w:customStyle="1" w:styleId="citation-505">
    <w:name w:val="citation-505"/>
    <w:basedOn w:val="DefaultParagraphFont"/>
    <w:rsid w:val="00EA5386"/>
  </w:style>
  <w:style w:type="character" w:customStyle="1" w:styleId="citation-504">
    <w:name w:val="citation-504"/>
    <w:basedOn w:val="DefaultParagraphFont"/>
    <w:rsid w:val="00EA5386"/>
  </w:style>
  <w:style w:type="character" w:customStyle="1" w:styleId="citation-503">
    <w:name w:val="citation-503"/>
    <w:basedOn w:val="DefaultParagraphFont"/>
    <w:rsid w:val="00EA5386"/>
  </w:style>
  <w:style w:type="character" w:customStyle="1" w:styleId="citation-502">
    <w:name w:val="citation-502"/>
    <w:basedOn w:val="DefaultParagraphFont"/>
    <w:rsid w:val="00EA5386"/>
  </w:style>
  <w:style w:type="character" w:customStyle="1" w:styleId="citation-501">
    <w:name w:val="citation-501"/>
    <w:basedOn w:val="DefaultParagraphFont"/>
    <w:rsid w:val="00EA5386"/>
  </w:style>
  <w:style w:type="character" w:customStyle="1" w:styleId="citation-500">
    <w:name w:val="citation-500"/>
    <w:basedOn w:val="DefaultParagraphFont"/>
    <w:rsid w:val="00EA5386"/>
  </w:style>
  <w:style w:type="character" w:customStyle="1" w:styleId="citation-499">
    <w:name w:val="citation-499"/>
    <w:basedOn w:val="DefaultParagraphFont"/>
    <w:rsid w:val="00EA5386"/>
  </w:style>
  <w:style w:type="character" w:customStyle="1" w:styleId="citation-498">
    <w:name w:val="citation-498"/>
    <w:basedOn w:val="DefaultParagraphFont"/>
    <w:rsid w:val="00EA5386"/>
  </w:style>
  <w:style w:type="character" w:customStyle="1" w:styleId="citation-497">
    <w:name w:val="citation-497"/>
    <w:basedOn w:val="DefaultParagraphFont"/>
    <w:rsid w:val="00EA5386"/>
  </w:style>
  <w:style w:type="character" w:customStyle="1" w:styleId="citation-496">
    <w:name w:val="citation-496"/>
    <w:basedOn w:val="DefaultParagraphFont"/>
    <w:rsid w:val="00EA5386"/>
  </w:style>
  <w:style w:type="character" w:customStyle="1" w:styleId="citation-495">
    <w:name w:val="citation-495"/>
    <w:basedOn w:val="DefaultParagraphFont"/>
    <w:rsid w:val="00EA5386"/>
  </w:style>
  <w:style w:type="character" w:customStyle="1" w:styleId="citation-494">
    <w:name w:val="citation-494"/>
    <w:basedOn w:val="DefaultParagraphFont"/>
    <w:rsid w:val="00EA5386"/>
  </w:style>
  <w:style w:type="character" w:customStyle="1" w:styleId="citation-493">
    <w:name w:val="citation-493"/>
    <w:basedOn w:val="DefaultParagraphFont"/>
    <w:rsid w:val="00EA5386"/>
  </w:style>
  <w:style w:type="character" w:customStyle="1" w:styleId="citation-492">
    <w:name w:val="citation-492"/>
    <w:basedOn w:val="DefaultParagraphFont"/>
    <w:rsid w:val="00EA5386"/>
  </w:style>
  <w:style w:type="character" w:customStyle="1" w:styleId="citation-491">
    <w:name w:val="citation-491"/>
    <w:basedOn w:val="DefaultParagraphFont"/>
    <w:rsid w:val="00EA5386"/>
  </w:style>
  <w:style w:type="character" w:customStyle="1" w:styleId="citation-490">
    <w:name w:val="citation-490"/>
    <w:basedOn w:val="DefaultParagraphFont"/>
    <w:rsid w:val="00EA5386"/>
  </w:style>
  <w:style w:type="character" w:customStyle="1" w:styleId="citation-489">
    <w:name w:val="citation-489"/>
    <w:basedOn w:val="DefaultParagraphFont"/>
    <w:rsid w:val="00EA5386"/>
  </w:style>
  <w:style w:type="character" w:customStyle="1" w:styleId="citation-488">
    <w:name w:val="citation-488"/>
    <w:basedOn w:val="DefaultParagraphFont"/>
    <w:rsid w:val="00EA5386"/>
  </w:style>
  <w:style w:type="character" w:customStyle="1" w:styleId="citation-487">
    <w:name w:val="citation-487"/>
    <w:basedOn w:val="DefaultParagraphFont"/>
    <w:rsid w:val="00EA5386"/>
  </w:style>
  <w:style w:type="character" w:customStyle="1" w:styleId="citation-486">
    <w:name w:val="citation-486"/>
    <w:basedOn w:val="DefaultParagraphFont"/>
    <w:rsid w:val="00EA5386"/>
  </w:style>
  <w:style w:type="character" w:customStyle="1" w:styleId="citation-485">
    <w:name w:val="citation-485"/>
    <w:basedOn w:val="DefaultParagraphFont"/>
    <w:rsid w:val="00EA5386"/>
  </w:style>
  <w:style w:type="character" w:customStyle="1" w:styleId="citation-484">
    <w:name w:val="citation-484"/>
    <w:basedOn w:val="DefaultParagraphFont"/>
    <w:rsid w:val="00EA5386"/>
  </w:style>
  <w:style w:type="character" w:customStyle="1" w:styleId="citation-483">
    <w:name w:val="citation-483"/>
    <w:basedOn w:val="DefaultParagraphFont"/>
    <w:rsid w:val="00EA5386"/>
  </w:style>
  <w:style w:type="character" w:customStyle="1" w:styleId="citation-482">
    <w:name w:val="citation-482"/>
    <w:basedOn w:val="DefaultParagraphFont"/>
    <w:rsid w:val="00EA5386"/>
  </w:style>
  <w:style w:type="character" w:customStyle="1" w:styleId="citation-481">
    <w:name w:val="citation-481"/>
    <w:basedOn w:val="DefaultParagraphFont"/>
    <w:rsid w:val="00EA5386"/>
  </w:style>
  <w:style w:type="character" w:customStyle="1" w:styleId="citation-480">
    <w:name w:val="citation-480"/>
    <w:basedOn w:val="DefaultParagraphFont"/>
    <w:rsid w:val="00EA5386"/>
  </w:style>
  <w:style w:type="character" w:customStyle="1" w:styleId="citation-479">
    <w:name w:val="citation-479"/>
    <w:basedOn w:val="DefaultParagraphFont"/>
    <w:rsid w:val="00EA5386"/>
  </w:style>
  <w:style w:type="character" w:customStyle="1" w:styleId="citation-478">
    <w:name w:val="citation-478"/>
    <w:basedOn w:val="DefaultParagraphFont"/>
    <w:rsid w:val="00EA5386"/>
  </w:style>
  <w:style w:type="character" w:customStyle="1" w:styleId="citation-477">
    <w:name w:val="citation-477"/>
    <w:basedOn w:val="DefaultParagraphFont"/>
    <w:rsid w:val="00EA5386"/>
  </w:style>
  <w:style w:type="character" w:customStyle="1" w:styleId="citation-476">
    <w:name w:val="citation-476"/>
    <w:basedOn w:val="DefaultParagraphFont"/>
    <w:rsid w:val="00EA5386"/>
  </w:style>
  <w:style w:type="character" w:customStyle="1" w:styleId="citation-475">
    <w:name w:val="citation-475"/>
    <w:basedOn w:val="DefaultParagraphFont"/>
    <w:rsid w:val="00EA5386"/>
  </w:style>
  <w:style w:type="character" w:customStyle="1" w:styleId="citation-474">
    <w:name w:val="citation-474"/>
    <w:basedOn w:val="DefaultParagraphFont"/>
    <w:rsid w:val="00EA5386"/>
  </w:style>
  <w:style w:type="character" w:customStyle="1" w:styleId="citation-473">
    <w:name w:val="citation-473"/>
    <w:basedOn w:val="DefaultParagraphFont"/>
    <w:rsid w:val="00EA5386"/>
  </w:style>
  <w:style w:type="character" w:customStyle="1" w:styleId="citation-472">
    <w:name w:val="citation-472"/>
    <w:basedOn w:val="DefaultParagraphFont"/>
    <w:rsid w:val="00EA5386"/>
  </w:style>
  <w:style w:type="character" w:customStyle="1" w:styleId="citation-471">
    <w:name w:val="citation-471"/>
    <w:basedOn w:val="DefaultParagraphFont"/>
    <w:rsid w:val="00EA5386"/>
  </w:style>
  <w:style w:type="character" w:customStyle="1" w:styleId="citation-470">
    <w:name w:val="citation-470"/>
    <w:basedOn w:val="DefaultParagraphFont"/>
    <w:rsid w:val="00EA5386"/>
  </w:style>
  <w:style w:type="character" w:customStyle="1" w:styleId="citation-469">
    <w:name w:val="citation-469"/>
    <w:basedOn w:val="DefaultParagraphFont"/>
    <w:rsid w:val="00EA5386"/>
  </w:style>
  <w:style w:type="character" w:customStyle="1" w:styleId="citation-468">
    <w:name w:val="citation-468"/>
    <w:basedOn w:val="DefaultParagraphFont"/>
    <w:rsid w:val="00EA5386"/>
  </w:style>
  <w:style w:type="character" w:customStyle="1" w:styleId="citation-467">
    <w:name w:val="citation-467"/>
    <w:basedOn w:val="DefaultParagraphFont"/>
    <w:rsid w:val="00EA5386"/>
  </w:style>
  <w:style w:type="character" w:customStyle="1" w:styleId="citation-466">
    <w:name w:val="citation-466"/>
    <w:basedOn w:val="DefaultParagraphFont"/>
    <w:rsid w:val="00EA5386"/>
  </w:style>
  <w:style w:type="character" w:customStyle="1" w:styleId="citation-465">
    <w:name w:val="citation-465"/>
    <w:basedOn w:val="DefaultParagraphFont"/>
    <w:rsid w:val="00EA5386"/>
  </w:style>
  <w:style w:type="character" w:customStyle="1" w:styleId="selected">
    <w:name w:val="selected"/>
    <w:basedOn w:val="DefaultParagraphFont"/>
    <w:rsid w:val="00934A74"/>
  </w:style>
  <w:style w:type="paragraph" w:styleId="FootnoteText">
    <w:name w:val="footnote text"/>
    <w:basedOn w:val="Normal"/>
    <w:link w:val="FootnoteTextChar"/>
    <w:uiPriority w:val="99"/>
    <w:semiHidden/>
    <w:unhideWhenUsed/>
    <w:rsid w:val="00AC583E"/>
    <w:rPr>
      <w:sz w:val="20"/>
      <w:szCs w:val="20"/>
    </w:rPr>
  </w:style>
  <w:style w:type="character" w:customStyle="1" w:styleId="FootnoteTextChar">
    <w:name w:val="Footnote Text Char"/>
    <w:basedOn w:val="DefaultParagraphFont"/>
    <w:link w:val="FootnoteText"/>
    <w:uiPriority w:val="99"/>
    <w:semiHidden/>
    <w:rsid w:val="00AC583E"/>
    <w:rPr>
      <w:sz w:val="20"/>
      <w:szCs w:val="20"/>
      <w:lang w:val="en-GB"/>
    </w:rPr>
  </w:style>
  <w:style w:type="character" w:styleId="FootnoteReference">
    <w:name w:val="footnote reference"/>
    <w:basedOn w:val="DefaultParagraphFont"/>
    <w:uiPriority w:val="99"/>
    <w:semiHidden/>
    <w:unhideWhenUsed/>
    <w:rsid w:val="00AC583E"/>
    <w:rPr>
      <w:vertAlign w:val="superscript"/>
    </w:rPr>
  </w:style>
  <w:style w:type="character" w:styleId="Hyperlink">
    <w:name w:val="Hyperlink"/>
    <w:basedOn w:val="DefaultParagraphFont"/>
    <w:uiPriority w:val="99"/>
    <w:unhideWhenUsed/>
    <w:rsid w:val="00AC583E"/>
    <w:rPr>
      <w:color w:val="0000FF" w:themeColor="hyperlink"/>
      <w:u w:val="single"/>
    </w:rPr>
  </w:style>
  <w:style w:type="character" w:customStyle="1" w:styleId="title-text">
    <w:name w:val="title-text"/>
    <w:basedOn w:val="DefaultParagraphFont"/>
    <w:rsid w:val="00AC583E"/>
  </w:style>
  <w:style w:type="character" w:customStyle="1" w:styleId="sr-only">
    <w:name w:val="sr-only"/>
    <w:basedOn w:val="DefaultParagraphFont"/>
    <w:rsid w:val="00AC583E"/>
  </w:style>
  <w:style w:type="character" w:customStyle="1" w:styleId="react-xocs-alternative-link">
    <w:name w:val="react-xocs-alternative-link"/>
    <w:basedOn w:val="DefaultParagraphFont"/>
    <w:rsid w:val="00AC583E"/>
  </w:style>
  <w:style w:type="character" w:customStyle="1" w:styleId="given-name">
    <w:name w:val="given-name"/>
    <w:basedOn w:val="DefaultParagraphFont"/>
    <w:rsid w:val="00AC583E"/>
  </w:style>
  <w:style w:type="character" w:customStyle="1" w:styleId="text">
    <w:name w:val="text"/>
    <w:basedOn w:val="DefaultParagraphFont"/>
    <w:rsid w:val="00AC583E"/>
  </w:style>
  <w:style w:type="character" w:customStyle="1" w:styleId="author-ref">
    <w:name w:val="author-ref"/>
    <w:basedOn w:val="DefaultParagraphFont"/>
    <w:rsid w:val="00AC583E"/>
  </w:style>
  <w:style w:type="paragraph" w:styleId="NoSpacing">
    <w:name w:val="No Spacing"/>
    <w:uiPriority w:val="1"/>
    <w:qFormat/>
    <w:rsid w:val="000A2414"/>
    <w:rPr>
      <w:lang w:val="en-GB"/>
    </w:rPr>
  </w:style>
  <w:style w:type="character" w:styleId="Emphasis">
    <w:name w:val="Emphasis"/>
    <w:basedOn w:val="DefaultParagraphFont"/>
    <w:uiPriority w:val="20"/>
    <w:qFormat/>
    <w:rsid w:val="00CE612B"/>
    <w:rPr>
      <w:i/>
      <w:iCs/>
    </w:rPr>
  </w:style>
</w:styles>
</file>

<file path=word/webSettings.xml><?xml version="1.0" encoding="utf-8"?>
<w:webSettings xmlns:r="http://schemas.openxmlformats.org/officeDocument/2006/relationships" xmlns:w="http://schemas.openxmlformats.org/wordprocessingml/2006/main">
  <w:divs>
    <w:div w:id="14499702">
      <w:bodyDiv w:val="1"/>
      <w:marLeft w:val="0"/>
      <w:marRight w:val="0"/>
      <w:marTop w:val="0"/>
      <w:marBottom w:val="0"/>
      <w:divBdr>
        <w:top w:val="none" w:sz="0" w:space="0" w:color="auto"/>
        <w:left w:val="none" w:sz="0" w:space="0" w:color="auto"/>
        <w:bottom w:val="none" w:sz="0" w:space="0" w:color="auto"/>
        <w:right w:val="none" w:sz="0" w:space="0" w:color="auto"/>
      </w:divBdr>
    </w:div>
    <w:div w:id="144710490">
      <w:bodyDiv w:val="1"/>
      <w:marLeft w:val="0"/>
      <w:marRight w:val="0"/>
      <w:marTop w:val="0"/>
      <w:marBottom w:val="0"/>
      <w:divBdr>
        <w:top w:val="none" w:sz="0" w:space="0" w:color="auto"/>
        <w:left w:val="none" w:sz="0" w:space="0" w:color="auto"/>
        <w:bottom w:val="none" w:sz="0" w:space="0" w:color="auto"/>
        <w:right w:val="none" w:sz="0" w:space="0" w:color="auto"/>
      </w:divBdr>
    </w:div>
    <w:div w:id="809789230">
      <w:bodyDiv w:val="1"/>
      <w:marLeft w:val="0"/>
      <w:marRight w:val="0"/>
      <w:marTop w:val="0"/>
      <w:marBottom w:val="0"/>
      <w:divBdr>
        <w:top w:val="none" w:sz="0" w:space="0" w:color="auto"/>
        <w:left w:val="none" w:sz="0" w:space="0" w:color="auto"/>
        <w:bottom w:val="none" w:sz="0" w:space="0" w:color="auto"/>
        <w:right w:val="none" w:sz="0" w:space="0" w:color="auto"/>
      </w:divBdr>
    </w:div>
    <w:div w:id="1198853297">
      <w:bodyDiv w:val="1"/>
      <w:marLeft w:val="0"/>
      <w:marRight w:val="0"/>
      <w:marTop w:val="0"/>
      <w:marBottom w:val="0"/>
      <w:divBdr>
        <w:top w:val="none" w:sz="0" w:space="0" w:color="auto"/>
        <w:left w:val="none" w:sz="0" w:space="0" w:color="auto"/>
        <w:bottom w:val="none" w:sz="0" w:space="0" w:color="auto"/>
        <w:right w:val="none" w:sz="0" w:space="0" w:color="auto"/>
      </w:divBdr>
      <w:divsChild>
        <w:div w:id="606276991">
          <w:marLeft w:val="0"/>
          <w:marRight w:val="0"/>
          <w:marTop w:val="0"/>
          <w:marBottom w:val="134"/>
          <w:divBdr>
            <w:top w:val="none" w:sz="0" w:space="0" w:color="auto"/>
            <w:left w:val="none" w:sz="0" w:space="0" w:color="auto"/>
            <w:bottom w:val="none" w:sz="0" w:space="0" w:color="auto"/>
            <w:right w:val="none" w:sz="0" w:space="0" w:color="auto"/>
          </w:divBdr>
          <w:divsChild>
            <w:div w:id="1658681160">
              <w:marLeft w:val="0"/>
              <w:marRight w:val="0"/>
              <w:marTop w:val="0"/>
              <w:marBottom w:val="0"/>
              <w:divBdr>
                <w:top w:val="none" w:sz="0" w:space="0" w:color="auto"/>
                <w:left w:val="none" w:sz="0" w:space="0" w:color="auto"/>
                <w:bottom w:val="none" w:sz="0" w:space="0" w:color="auto"/>
                <w:right w:val="none" w:sz="0" w:space="0" w:color="auto"/>
              </w:divBdr>
              <w:divsChild>
                <w:div w:id="1750076993">
                  <w:marLeft w:val="0"/>
                  <w:marRight w:val="0"/>
                  <w:marTop w:val="0"/>
                  <w:marBottom w:val="0"/>
                  <w:divBdr>
                    <w:top w:val="none" w:sz="0" w:space="0" w:color="auto"/>
                    <w:left w:val="none" w:sz="0" w:space="0" w:color="auto"/>
                    <w:bottom w:val="none" w:sz="0" w:space="0" w:color="auto"/>
                    <w:right w:val="none" w:sz="0" w:space="0" w:color="auto"/>
                  </w:divBdr>
                  <w:divsChild>
                    <w:div w:id="13553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736278">
      <w:bodyDiv w:val="1"/>
      <w:marLeft w:val="0"/>
      <w:marRight w:val="0"/>
      <w:marTop w:val="0"/>
      <w:marBottom w:val="0"/>
      <w:divBdr>
        <w:top w:val="none" w:sz="0" w:space="0" w:color="auto"/>
        <w:left w:val="none" w:sz="0" w:space="0" w:color="auto"/>
        <w:bottom w:val="none" w:sz="0" w:space="0" w:color="auto"/>
        <w:right w:val="none" w:sz="0" w:space="0" w:color="auto"/>
      </w:divBdr>
    </w:div>
    <w:div w:id="1638994742">
      <w:bodyDiv w:val="1"/>
      <w:marLeft w:val="0"/>
      <w:marRight w:val="0"/>
      <w:marTop w:val="0"/>
      <w:marBottom w:val="0"/>
      <w:divBdr>
        <w:top w:val="none" w:sz="0" w:space="0" w:color="auto"/>
        <w:left w:val="none" w:sz="0" w:space="0" w:color="auto"/>
        <w:bottom w:val="none" w:sz="0" w:space="0" w:color="auto"/>
        <w:right w:val="none" w:sz="0" w:space="0" w:color="auto"/>
      </w:divBdr>
    </w:div>
    <w:div w:id="1659385653">
      <w:bodyDiv w:val="1"/>
      <w:marLeft w:val="0"/>
      <w:marRight w:val="0"/>
      <w:marTop w:val="0"/>
      <w:marBottom w:val="0"/>
      <w:divBdr>
        <w:top w:val="none" w:sz="0" w:space="0" w:color="auto"/>
        <w:left w:val="none" w:sz="0" w:space="0" w:color="auto"/>
        <w:bottom w:val="none" w:sz="0" w:space="0" w:color="auto"/>
        <w:right w:val="none" w:sz="0" w:space="0" w:color="auto"/>
      </w:divBdr>
    </w:div>
    <w:div w:id="1715494713">
      <w:bodyDiv w:val="1"/>
      <w:marLeft w:val="0"/>
      <w:marRight w:val="0"/>
      <w:marTop w:val="0"/>
      <w:marBottom w:val="0"/>
      <w:divBdr>
        <w:top w:val="none" w:sz="0" w:space="0" w:color="auto"/>
        <w:left w:val="none" w:sz="0" w:space="0" w:color="auto"/>
        <w:bottom w:val="none" w:sz="0" w:space="0" w:color="auto"/>
        <w:right w:val="none" w:sz="0" w:space="0" w:color="auto"/>
      </w:divBdr>
    </w:div>
    <w:div w:id="1733699339">
      <w:bodyDiv w:val="1"/>
      <w:marLeft w:val="0"/>
      <w:marRight w:val="0"/>
      <w:marTop w:val="0"/>
      <w:marBottom w:val="0"/>
      <w:divBdr>
        <w:top w:val="none" w:sz="0" w:space="0" w:color="auto"/>
        <w:left w:val="none" w:sz="0" w:space="0" w:color="auto"/>
        <w:bottom w:val="none" w:sz="0" w:space="0" w:color="auto"/>
        <w:right w:val="none" w:sz="0" w:space="0" w:color="auto"/>
      </w:divBdr>
    </w:div>
    <w:div w:id="213039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science/article/pii/S0305750X220008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67D66C-F9A6-4DED-A0DB-655CD57BD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2020</Words>
  <Characters>11518</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6</cp:revision>
  <dcterms:created xsi:type="dcterms:W3CDTF">2026-04-13T09:08:00Z</dcterms:created>
  <dcterms:modified xsi:type="dcterms:W3CDTF">2026-09-08T14:00:00Z</dcterms:modified>
</cp:coreProperties>
</file>